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32" w:rsidRDefault="00343132" w:rsidP="00343132">
      <w:pPr>
        <w:pStyle w:val="NoSpacing"/>
        <w:rPr>
          <w:rFonts w:asciiTheme="majorHAnsi" w:hAnsiTheme="majorHAnsi" w:cstheme="minorHAnsi"/>
          <w:sz w:val="24"/>
          <w:szCs w:val="24"/>
        </w:rPr>
      </w:pPr>
    </w:p>
    <w:p w:rsidR="00231954" w:rsidRDefault="00231954" w:rsidP="00343132">
      <w:pPr>
        <w:pStyle w:val="NoSpacing"/>
        <w:rPr>
          <w:rFonts w:asciiTheme="majorHAnsi" w:hAnsiTheme="majorHAnsi" w:cstheme="minorHAnsi"/>
          <w:sz w:val="24"/>
          <w:szCs w:val="24"/>
        </w:rPr>
      </w:pPr>
    </w:p>
    <w:p w:rsidR="00231954" w:rsidRDefault="00231954"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231954" w:rsidRDefault="00231954" w:rsidP="00343132">
      <w:pPr>
        <w:pStyle w:val="NoSpacing"/>
        <w:rPr>
          <w:rFonts w:asciiTheme="majorHAnsi" w:hAnsiTheme="majorHAnsi" w:cstheme="minorHAnsi"/>
          <w:sz w:val="24"/>
          <w:szCs w:val="24"/>
        </w:rPr>
      </w:pPr>
    </w:p>
    <w:p w:rsidR="00343132" w:rsidRPr="0091752D" w:rsidRDefault="00231954" w:rsidP="00231954">
      <w:pPr>
        <w:pStyle w:val="NoSpacing"/>
        <w:jc w:val="center"/>
        <w:rPr>
          <w:rFonts w:asciiTheme="majorHAnsi" w:hAnsiTheme="majorHAnsi" w:cstheme="minorHAnsi"/>
          <w:b/>
          <w:color w:val="0070C0"/>
          <w:sz w:val="44"/>
          <w:szCs w:val="44"/>
        </w:rPr>
      </w:pPr>
      <w:r w:rsidRPr="0091752D">
        <w:rPr>
          <w:rFonts w:asciiTheme="majorHAnsi" w:hAnsiTheme="majorHAnsi" w:cstheme="minorHAnsi"/>
          <w:b/>
          <w:color w:val="0070C0"/>
          <w:sz w:val="44"/>
          <w:szCs w:val="44"/>
        </w:rPr>
        <w:t>Financial Innovation and Financing Innovation: The Case for Mutual Guarantee Societies</w:t>
      </w:r>
    </w:p>
    <w:p w:rsidR="00343132" w:rsidRDefault="00343132" w:rsidP="00343132">
      <w:pPr>
        <w:pStyle w:val="NoSpacing"/>
        <w:rPr>
          <w:rFonts w:asciiTheme="majorHAnsi" w:hAnsiTheme="majorHAnsi" w:cstheme="minorHAnsi"/>
          <w:sz w:val="24"/>
          <w:szCs w:val="24"/>
        </w:rPr>
      </w:pPr>
    </w:p>
    <w:p w:rsidR="00231954" w:rsidRDefault="00231954"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231954" w:rsidRDefault="00231954" w:rsidP="00343132">
      <w:pPr>
        <w:pStyle w:val="NoSpacing"/>
        <w:rPr>
          <w:rFonts w:asciiTheme="majorHAnsi" w:hAnsiTheme="majorHAnsi" w:cstheme="minorHAnsi"/>
          <w:sz w:val="24"/>
          <w:szCs w:val="24"/>
        </w:rPr>
      </w:pPr>
    </w:p>
    <w:p w:rsidR="00231954" w:rsidRDefault="00231954" w:rsidP="00231954">
      <w:pPr>
        <w:pStyle w:val="NoSpacing"/>
        <w:jc w:val="center"/>
        <w:rPr>
          <w:rFonts w:asciiTheme="majorHAnsi" w:hAnsiTheme="majorHAnsi" w:cstheme="minorHAnsi"/>
          <w:sz w:val="24"/>
          <w:szCs w:val="24"/>
        </w:rPr>
      </w:pPr>
      <w:r>
        <w:rPr>
          <w:rFonts w:asciiTheme="majorHAnsi" w:hAnsiTheme="majorHAnsi" w:cstheme="minorHAnsi"/>
          <w:sz w:val="24"/>
          <w:szCs w:val="24"/>
        </w:rPr>
        <w:t xml:space="preserve">By Giuseppe </w:t>
      </w:r>
      <w:proofErr w:type="spellStart"/>
      <w:r>
        <w:rPr>
          <w:rFonts w:asciiTheme="majorHAnsi" w:hAnsiTheme="majorHAnsi" w:cstheme="minorHAnsi"/>
          <w:sz w:val="24"/>
          <w:szCs w:val="24"/>
        </w:rPr>
        <w:t>Gramigna</w:t>
      </w:r>
      <w:proofErr w:type="spellEnd"/>
    </w:p>
    <w:p w:rsidR="00231954" w:rsidRDefault="00231954" w:rsidP="00343132">
      <w:pPr>
        <w:pStyle w:val="NoSpacing"/>
        <w:rPr>
          <w:rFonts w:asciiTheme="majorHAnsi" w:hAnsiTheme="majorHAnsi" w:cstheme="minorHAnsi"/>
          <w:sz w:val="24"/>
          <w:szCs w:val="24"/>
        </w:rPr>
      </w:pPr>
    </w:p>
    <w:p w:rsidR="00231954" w:rsidRDefault="00231954" w:rsidP="00231954">
      <w:pPr>
        <w:pStyle w:val="NoSpacing"/>
        <w:jc w:val="center"/>
        <w:rPr>
          <w:rFonts w:asciiTheme="majorHAnsi" w:hAnsiTheme="majorHAnsi" w:cstheme="minorHAnsi"/>
          <w:sz w:val="24"/>
          <w:szCs w:val="24"/>
        </w:rPr>
      </w:pPr>
      <w:r>
        <w:rPr>
          <w:rFonts w:asciiTheme="majorHAnsi" w:hAnsiTheme="majorHAnsi" w:cstheme="minorHAnsi"/>
          <w:sz w:val="24"/>
          <w:szCs w:val="24"/>
        </w:rPr>
        <w:t>Date</w:t>
      </w:r>
      <w:r w:rsidR="00BB229B">
        <w:rPr>
          <w:rFonts w:asciiTheme="majorHAnsi" w:hAnsiTheme="majorHAnsi" w:cstheme="minorHAnsi"/>
          <w:sz w:val="24"/>
          <w:szCs w:val="24"/>
        </w:rPr>
        <w:t xml:space="preserve"> September 18, 2015</w:t>
      </w:r>
    </w:p>
    <w:p w:rsidR="00231954" w:rsidRDefault="00231954" w:rsidP="00343132">
      <w:pPr>
        <w:pStyle w:val="NoSpacing"/>
        <w:rPr>
          <w:rFonts w:asciiTheme="majorHAnsi" w:hAnsiTheme="majorHAnsi" w:cstheme="minorHAnsi"/>
          <w:sz w:val="24"/>
          <w:szCs w:val="24"/>
        </w:rPr>
      </w:pPr>
    </w:p>
    <w:p w:rsidR="00D12996" w:rsidRDefault="00D12996" w:rsidP="00343132">
      <w:pPr>
        <w:pStyle w:val="NoSpacing"/>
        <w:rPr>
          <w:rFonts w:asciiTheme="majorHAnsi" w:hAnsiTheme="majorHAnsi" w:cstheme="minorHAnsi"/>
          <w:sz w:val="24"/>
          <w:szCs w:val="24"/>
        </w:rPr>
      </w:pPr>
    </w:p>
    <w:p w:rsidR="00D12996" w:rsidRDefault="00D12996" w:rsidP="00343132">
      <w:pPr>
        <w:pStyle w:val="NoSpacing"/>
        <w:rPr>
          <w:rFonts w:asciiTheme="majorHAnsi" w:hAnsiTheme="majorHAnsi" w:cstheme="minorHAnsi"/>
          <w:sz w:val="24"/>
          <w:szCs w:val="24"/>
        </w:rPr>
      </w:pPr>
    </w:p>
    <w:p w:rsidR="00D12996" w:rsidRDefault="00D12996"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91752D" w:rsidRDefault="0091752D" w:rsidP="00343132">
      <w:pPr>
        <w:pStyle w:val="NoSpacing"/>
        <w:rPr>
          <w:rFonts w:asciiTheme="majorHAnsi" w:hAnsiTheme="majorHAnsi" w:cstheme="minorHAnsi"/>
          <w:sz w:val="24"/>
          <w:szCs w:val="24"/>
        </w:rPr>
      </w:pPr>
    </w:p>
    <w:p w:rsidR="00231954" w:rsidRDefault="00231954" w:rsidP="00343132">
      <w:pPr>
        <w:pStyle w:val="NoSpacing"/>
        <w:rPr>
          <w:rFonts w:asciiTheme="majorHAnsi" w:hAnsiTheme="majorHAnsi" w:cstheme="minorHAnsi"/>
          <w:sz w:val="24"/>
          <w:szCs w:val="24"/>
        </w:rPr>
      </w:pPr>
    </w:p>
    <w:p w:rsidR="00D0218D" w:rsidRPr="00D0218D" w:rsidRDefault="00D12996" w:rsidP="00D0218D">
      <w:pPr>
        <w:pStyle w:val="NoSpacing"/>
        <w:rPr>
          <w:rFonts w:asciiTheme="majorHAnsi" w:hAnsiTheme="majorHAnsi" w:cstheme="minorHAnsi"/>
          <w:sz w:val="24"/>
          <w:szCs w:val="24"/>
        </w:rPr>
      </w:pPr>
      <w:r>
        <w:rPr>
          <w:rFonts w:asciiTheme="majorHAnsi" w:hAnsiTheme="majorHAnsi" w:cstheme="minorHAnsi"/>
          <w:sz w:val="24"/>
          <w:szCs w:val="24"/>
        </w:rPr>
        <w:t>Copyright © 2015</w:t>
      </w:r>
      <w:r w:rsidR="00D0218D" w:rsidRPr="00D0218D">
        <w:rPr>
          <w:rFonts w:asciiTheme="majorHAnsi" w:hAnsiTheme="majorHAnsi" w:cstheme="minorHAnsi"/>
          <w:sz w:val="24"/>
          <w:szCs w:val="24"/>
        </w:rPr>
        <w:t xml:space="preserve"> by </w:t>
      </w:r>
      <w:r w:rsidR="00D0218D">
        <w:rPr>
          <w:rFonts w:asciiTheme="majorHAnsi" w:hAnsiTheme="majorHAnsi" w:cstheme="minorHAnsi"/>
          <w:sz w:val="24"/>
          <w:szCs w:val="24"/>
        </w:rPr>
        <w:t xml:space="preserve">Giuseppe </w:t>
      </w:r>
      <w:proofErr w:type="spellStart"/>
      <w:r w:rsidR="00D0218D">
        <w:rPr>
          <w:rFonts w:asciiTheme="majorHAnsi" w:hAnsiTheme="majorHAnsi" w:cstheme="minorHAnsi"/>
          <w:sz w:val="24"/>
          <w:szCs w:val="24"/>
        </w:rPr>
        <w:t>Gramigna</w:t>
      </w:r>
      <w:proofErr w:type="spellEnd"/>
    </w:p>
    <w:p w:rsidR="00D0218D" w:rsidRPr="00D0218D" w:rsidRDefault="00D0218D" w:rsidP="00D0218D">
      <w:pPr>
        <w:pStyle w:val="NoSpacing"/>
        <w:rPr>
          <w:rFonts w:asciiTheme="majorHAnsi" w:hAnsiTheme="majorHAnsi" w:cstheme="minorHAnsi"/>
          <w:sz w:val="24"/>
          <w:szCs w:val="24"/>
        </w:rPr>
      </w:pPr>
    </w:p>
    <w:p w:rsidR="00D12996" w:rsidRDefault="00D0218D" w:rsidP="00D12996">
      <w:pPr>
        <w:pStyle w:val="NoSpacing"/>
        <w:rPr>
          <w:rFonts w:asciiTheme="majorHAnsi" w:hAnsiTheme="majorHAnsi" w:cstheme="minorHAnsi"/>
          <w:sz w:val="24"/>
          <w:szCs w:val="24"/>
        </w:rPr>
      </w:pPr>
      <w:r w:rsidRPr="00D0218D">
        <w:rPr>
          <w:rFonts w:asciiTheme="majorHAnsi" w:hAnsiTheme="majorHAnsi" w:cstheme="minorHAnsi"/>
          <w:sz w:val="24"/>
          <w:szCs w:val="24"/>
        </w:rPr>
        <w:t xml:space="preserve">All rights reserved. No part of this </w:t>
      </w:r>
      <w:r>
        <w:rPr>
          <w:rFonts w:asciiTheme="majorHAnsi" w:hAnsiTheme="majorHAnsi" w:cstheme="minorHAnsi"/>
          <w:sz w:val="24"/>
          <w:szCs w:val="24"/>
        </w:rPr>
        <w:t>document</w:t>
      </w:r>
      <w:r w:rsidRPr="00D0218D">
        <w:rPr>
          <w:rFonts w:asciiTheme="majorHAnsi" w:hAnsiTheme="majorHAnsi" w:cstheme="minorHAnsi"/>
          <w:sz w:val="24"/>
          <w:szCs w:val="24"/>
        </w:rPr>
        <w:t xml:space="preserve"> may be reproduced, distributed, or transmitted in any form or by any means, including photocopying, recording, or other electronic or mechanical methods, without the prior written permission of the </w:t>
      </w:r>
      <w:r w:rsidR="00C1597E">
        <w:rPr>
          <w:rFonts w:asciiTheme="majorHAnsi" w:hAnsiTheme="majorHAnsi" w:cstheme="minorHAnsi"/>
          <w:sz w:val="24"/>
          <w:szCs w:val="24"/>
        </w:rPr>
        <w:t>author</w:t>
      </w:r>
      <w:r w:rsidRPr="00D0218D">
        <w:rPr>
          <w:rFonts w:asciiTheme="majorHAnsi" w:hAnsiTheme="majorHAnsi" w:cstheme="minorHAnsi"/>
          <w:sz w:val="24"/>
          <w:szCs w:val="24"/>
        </w:rPr>
        <w:t xml:space="preserve">, except in the case of brief quotations embodied in critical reviews and certain other noncommercial uses permitted by copyright law. For permission requests, write to the </w:t>
      </w:r>
      <w:r>
        <w:rPr>
          <w:rFonts w:asciiTheme="majorHAnsi" w:hAnsiTheme="majorHAnsi" w:cstheme="minorHAnsi"/>
          <w:sz w:val="24"/>
          <w:szCs w:val="24"/>
        </w:rPr>
        <w:t>Author</w:t>
      </w:r>
      <w:r w:rsidR="00D12996">
        <w:rPr>
          <w:rFonts w:asciiTheme="majorHAnsi" w:hAnsiTheme="majorHAnsi" w:cstheme="minorHAnsi"/>
          <w:sz w:val="24"/>
          <w:szCs w:val="24"/>
        </w:rPr>
        <w:t xml:space="preserve"> at </w:t>
      </w:r>
      <w:hyperlink r:id="rId9" w:history="1">
        <w:r w:rsidR="00D12996" w:rsidRPr="0079200C">
          <w:rPr>
            <w:rStyle w:val="Hyperlink"/>
            <w:rFonts w:asciiTheme="majorHAnsi" w:hAnsiTheme="majorHAnsi" w:cstheme="minorHAnsi"/>
            <w:sz w:val="24"/>
            <w:szCs w:val="24"/>
          </w:rPr>
          <w:t>dassi@ix.netcom.com</w:t>
        </w:r>
      </w:hyperlink>
      <w:r w:rsidR="00D12996">
        <w:rPr>
          <w:rFonts w:asciiTheme="majorHAnsi" w:hAnsiTheme="majorHAnsi" w:cstheme="minorHAnsi"/>
          <w:sz w:val="24"/>
          <w:szCs w:val="24"/>
        </w:rPr>
        <w:t xml:space="preserve"> </w:t>
      </w:r>
    </w:p>
    <w:p w:rsidR="00231954" w:rsidRDefault="00231954">
      <w:pPr>
        <w:rPr>
          <w:rFonts w:asciiTheme="majorHAnsi" w:hAnsiTheme="majorHAnsi" w:cstheme="minorHAnsi"/>
          <w:sz w:val="24"/>
          <w:szCs w:val="24"/>
        </w:rPr>
      </w:pPr>
      <w:r>
        <w:rPr>
          <w:rFonts w:asciiTheme="majorHAnsi" w:hAnsiTheme="majorHAnsi" w:cstheme="minorHAnsi"/>
          <w:sz w:val="24"/>
          <w:szCs w:val="24"/>
        </w:rPr>
        <w:br w:type="page"/>
      </w:r>
    </w:p>
    <w:p w:rsidR="00343132" w:rsidRPr="0091752D" w:rsidRDefault="00343132" w:rsidP="00343132">
      <w:pPr>
        <w:pStyle w:val="NoSpacing"/>
        <w:rPr>
          <w:rFonts w:asciiTheme="majorHAnsi" w:hAnsiTheme="majorHAnsi" w:cstheme="minorHAnsi"/>
          <w:color w:val="0070C0"/>
          <w:sz w:val="24"/>
          <w:szCs w:val="24"/>
        </w:rPr>
      </w:pPr>
    </w:p>
    <w:sdt>
      <w:sdtPr>
        <w:rPr>
          <w:rFonts w:asciiTheme="minorHAnsi" w:eastAsiaTheme="minorHAnsi" w:hAnsiTheme="minorHAnsi" w:cstheme="minorBidi"/>
          <w:b w:val="0"/>
          <w:bCs w:val="0"/>
          <w:color w:val="auto"/>
          <w:sz w:val="22"/>
          <w:szCs w:val="22"/>
          <w:lang w:eastAsia="en-US"/>
        </w:rPr>
        <w:id w:val="-1515058612"/>
        <w:docPartObj>
          <w:docPartGallery w:val="Table of Contents"/>
          <w:docPartUnique/>
        </w:docPartObj>
      </w:sdtPr>
      <w:sdtEndPr>
        <w:rPr>
          <w:noProof/>
        </w:rPr>
      </w:sdtEndPr>
      <w:sdtContent>
        <w:p w:rsidR="00F62181" w:rsidRDefault="00F62181">
          <w:pPr>
            <w:pStyle w:val="TOCHeading"/>
          </w:pPr>
          <w:r>
            <w:t>Table of Contents</w:t>
          </w:r>
        </w:p>
        <w:p w:rsidR="00B555FA" w:rsidRDefault="00F62181">
          <w:pPr>
            <w:pStyle w:val="TOC1"/>
            <w:rPr>
              <w:b w:val="0"/>
              <w:lang w:eastAsia="en-US"/>
            </w:rPr>
          </w:pPr>
          <w:r>
            <w:fldChar w:fldCharType="begin"/>
          </w:r>
          <w:r>
            <w:instrText xml:space="preserve"> TOC \o "1-3" \h \z \u </w:instrText>
          </w:r>
          <w:r>
            <w:fldChar w:fldCharType="separate"/>
          </w:r>
          <w:hyperlink w:anchor="_Toc430353386" w:history="1">
            <w:r w:rsidR="00B555FA" w:rsidRPr="00BA6714">
              <w:rPr>
                <w:rStyle w:val="Hyperlink"/>
              </w:rPr>
              <w:t>I.</w:t>
            </w:r>
            <w:r w:rsidR="00B555FA">
              <w:rPr>
                <w:b w:val="0"/>
                <w:lang w:eastAsia="en-US"/>
              </w:rPr>
              <w:tab/>
            </w:r>
            <w:r w:rsidR="00B555FA" w:rsidRPr="00BA6714">
              <w:rPr>
                <w:rStyle w:val="Hyperlink"/>
              </w:rPr>
              <w:t>Abstract</w:t>
            </w:r>
            <w:r w:rsidR="00B555FA">
              <w:rPr>
                <w:webHidden/>
              </w:rPr>
              <w:tab/>
            </w:r>
            <w:r w:rsidR="00B555FA">
              <w:rPr>
                <w:webHidden/>
              </w:rPr>
              <w:fldChar w:fldCharType="begin"/>
            </w:r>
            <w:r w:rsidR="00B555FA">
              <w:rPr>
                <w:webHidden/>
              </w:rPr>
              <w:instrText xml:space="preserve"> PAGEREF _Toc430353386 \h </w:instrText>
            </w:r>
            <w:r w:rsidR="00B555FA">
              <w:rPr>
                <w:webHidden/>
              </w:rPr>
            </w:r>
            <w:r w:rsidR="00B555FA">
              <w:rPr>
                <w:webHidden/>
              </w:rPr>
              <w:fldChar w:fldCharType="separate"/>
            </w:r>
            <w:r w:rsidR="00B555FA">
              <w:rPr>
                <w:webHidden/>
              </w:rPr>
              <w:t>3</w:t>
            </w:r>
            <w:r w:rsidR="00B555FA">
              <w:rPr>
                <w:webHidden/>
              </w:rPr>
              <w:fldChar w:fldCharType="end"/>
            </w:r>
          </w:hyperlink>
        </w:p>
        <w:p w:rsidR="00B555FA" w:rsidRDefault="00DE661E">
          <w:pPr>
            <w:pStyle w:val="TOC1"/>
            <w:rPr>
              <w:b w:val="0"/>
              <w:lang w:eastAsia="en-US"/>
            </w:rPr>
          </w:pPr>
          <w:hyperlink w:anchor="_Toc430353387" w:history="1">
            <w:r w:rsidR="00B555FA" w:rsidRPr="00BA6714">
              <w:rPr>
                <w:rStyle w:val="Hyperlink"/>
              </w:rPr>
              <w:t>II.</w:t>
            </w:r>
            <w:r w:rsidR="00B555FA">
              <w:rPr>
                <w:b w:val="0"/>
                <w:lang w:eastAsia="en-US"/>
              </w:rPr>
              <w:tab/>
            </w:r>
            <w:r w:rsidR="00B555FA" w:rsidRPr="00BA6714">
              <w:rPr>
                <w:rStyle w:val="Hyperlink"/>
              </w:rPr>
              <w:t>Introduction</w:t>
            </w:r>
            <w:r w:rsidR="00B555FA">
              <w:rPr>
                <w:webHidden/>
              </w:rPr>
              <w:tab/>
            </w:r>
            <w:r w:rsidR="00B555FA">
              <w:rPr>
                <w:webHidden/>
              </w:rPr>
              <w:fldChar w:fldCharType="begin"/>
            </w:r>
            <w:r w:rsidR="00B555FA">
              <w:rPr>
                <w:webHidden/>
              </w:rPr>
              <w:instrText xml:space="preserve"> PAGEREF _Toc430353387 \h </w:instrText>
            </w:r>
            <w:r w:rsidR="00B555FA">
              <w:rPr>
                <w:webHidden/>
              </w:rPr>
            </w:r>
            <w:r w:rsidR="00B555FA">
              <w:rPr>
                <w:webHidden/>
              </w:rPr>
              <w:fldChar w:fldCharType="separate"/>
            </w:r>
            <w:r w:rsidR="00B555FA">
              <w:rPr>
                <w:webHidden/>
              </w:rPr>
              <w:t>4</w:t>
            </w:r>
            <w:r w:rsidR="00B555FA">
              <w:rPr>
                <w:webHidden/>
              </w:rPr>
              <w:fldChar w:fldCharType="end"/>
            </w:r>
          </w:hyperlink>
        </w:p>
        <w:p w:rsidR="00B555FA" w:rsidRDefault="00DE661E">
          <w:pPr>
            <w:pStyle w:val="TOC1"/>
            <w:rPr>
              <w:b w:val="0"/>
              <w:lang w:eastAsia="en-US"/>
            </w:rPr>
          </w:pPr>
          <w:hyperlink w:anchor="_Toc430353388" w:history="1">
            <w:r w:rsidR="00B555FA" w:rsidRPr="00BA6714">
              <w:rPr>
                <w:rStyle w:val="Hyperlink"/>
              </w:rPr>
              <w:t>III.</w:t>
            </w:r>
            <w:r w:rsidR="00B555FA">
              <w:rPr>
                <w:b w:val="0"/>
                <w:lang w:eastAsia="en-US"/>
              </w:rPr>
              <w:tab/>
            </w:r>
            <w:r w:rsidR="00B555FA" w:rsidRPr="00BA6714">
              <w:rPr>
                <w:rStyle w:val="Hyperlink"/>
              </w:rPr>
              <w:t>Assessing the landscape for financing innovative SMEs</w:t>
            </w:r>
            <w:r w:rsidR="00B555FA">
              <w:rPr>
                <w:webHidden/>
              </w:rPr>
              <w:tab/>
            </w:r>
            <w:r w:rsidR="00B555FA">
              <w:rPr>
                <w:webHidden/>
              </w:rPr>
              <w:fldChar w:fldCharType="begin"/>
            </w:r>
            <w:r w:rsidR="00B555FA">
              <w:rPr>
                <w:webHidden/>
              </w:rPr>
              <w:instrText xml:space="preserve"> PAGEREF _Toc430353388 \h </w:instrText>
            </w:r>
            <w:r w:rsidR="00B555FA">
              <w:rPr>
                <w:webHidden/>
              </w:rPr>
            </w:r>
            <w:r w:rsidR="00B555FA">
              <w:rPr>
                <w:webHidden/>
              </w:rPr>
              <w:fldChar w:fldCharType="separate"/>
            </w:r>
            <w:r w:rsidR="00B555FA">
              <w:rPr>
                <w:webHidden/>
              </w:rPr>
              <w:t>6</w:t>
            </w:r>
            <w:r w:rsidR="00B555FA">
              <w:rPr>
                <w:webHidden/>
              </w:rPr>
              <w:fldChar w:fldCharType="end"/>
            </w:r>
          </w:hyperlink>
        </w:p>
        <w:p w:rsidR="00B555FA" w:rsidRDefault="00DE661E">
          <w:pPr>
            <w:pStyle w:val="TOC2"/>
            <w:rPr>
              <w:noProof/>
              <w:lang w:eastAsia="en-US"/>
            </w:rPr>
          </w:pPr>
          <w:hyperlink w:anchor="_Toc430353389" w:history="1">
            <w:r w:rsidR="00B555FA" w:rsidRPr="00BA6714">
              <w:rPr>
                <w:rStyle w:val="Hyperlink"/>
                <w:noProof/>
              </w:rPr>
              <w:t>Assessing the potential credit demand from Innovative SMEs</w:t>
            </w:r>
            <w:r w:rsidR="00B555FA">
              <w:rPr>
                <w:noProof/>
                <w:webHidden/>
              </w:rPr>
              <w:tab/>
            </w:r>
            <w:r w:rsidR="00B555FA">
              <w:rPr>
                <w:noProof/>
                <w:webHidden/>
              </w:rPr>
              <w:fldChar w:fldCharType="begin"/>
            </w:r>
            <w:r w:rsidR="00B555FA">
              <w:rPr>
                <w:noProof/>
                <w:webHidden/>
              </w:rPr>
              <w:instrText xml:space="preserve"> PAGEREF _Toc430353389 \h </w:instrText>
            </w:r>
            <w:r w:rsidR="00B555FA">
              <w:rPr>
                <w:noProof/>
                <w:webHidden/>
              </w:rPr>
            </w:r>
            <w:r w:rsidR="00B555FA">
              <w:rPr>
                <w:noProof/>
                <w:webHidden/>
              </w:rPr>
              <w:fldChar w:fldCharType="separate"/>
            </w:r>
            <w:r w:rsidR="00B555FA">
              <w:rPr>
                <w:noProof/>
                <w:webHidden/>
              </w:rPr>
              <w:t>6</w:t>
            </w:r>
            <w:r w:rsidR="00B555FA">
              <w:rPr>
                <w:noProof/>
                <w:webHidden/>
              </w:rPr>
              <w:fldChar w:fldCharType="end"/>
            </w:r>
          </w:hyperlink>
        </w:p>
        <w:p w:rsidR="00B555FA" w:rsidRDefault="00DE661E">
          <w:pPr>
            <w:pStyle w:val="TOC2"/>
            <w:rPr>
              <w:noProof/>
              <w:lang w:eastAsia="en-US"/>
            </w:rPr>
          </w:pPr>
          <w:hyperlink w:anchor="_Toc430353390" w:history="1">
            <w:r w:rsidR="00B555FA" w:rsidRPr="00BA6714">
              <w:rPr>
                <w:rStyle w:val="Hyperlink"/>
                <w:noProof/>
              </w:rPr>
              <w:t>Assessing the competitive landscape (potential supply) for financing innovative SMEs</w:t>
            </w:r>
            <w:r w:rsidR="00B555FA">
              <w:rPr>
                <w:noProof/>
                <w:webHidden/>
              </w:rPr>
              <w:tab/>
            </w:r>
            <w:r w:rsidR="00B555FA">
              <w:rPr>
                <w:noProof/>
                <w:webHidden/>
              </w:rPr>
              <w:fldChar w:fldCharType="begin"/>
            </w:r>
            <w:r w:rsidR="00B555FA">
              <w:rPr>
                <w:noProof/>
                <w:webHidden/>
              </w:rPr>
              <w:instrText xml:space="preserve"> PAGEREF _Toc430353390 \h </w:instrText>
            </w:r>
            <w:r w:rsidR="00B555FA">
              <w:rPr>
                <w:noProof/>
                <w:webHidden/>
              </w:rPr>
            </w:r>
            <w:r w:rsidR="00B555FA">
              <w:rPr>
                <w:noProof/>
                <w:webHidden/>
              </w:rPr>
              <w:fldChar w:fldCharType="separate"/>
            </w:r>
            <w:r w:rsidR="00B555FA">
              <w:rPr>
                <w:noProof/>
                <w:webHidden/>
              </w:rPr>
              <w:t>8</w:t>
            </w:r>
            <w:r w:rsidR="00B555FA">
              <w:rPr>
                <w:noProof/>
                <w:webHidden/>
              </w:rPr>
              <w:fldChar w:fldCharType="end"/>
            </w:r>
          </w:hyperlink>
        </w:p>
        <w:p w:rsidR="00B555FA" w:rsidRDefault="00DE661E">
          <w:pPr>
            <w:pStyle w:val="TOC2"/>
            <w:rPr>
              <w:noProof/>
              <w:lang w:eastAsia="en-US"/>
            </w:rPr>
          </w:pPr>
          <w:hyperlink w:anchor="_Toc430353391" w:history="1">
            <w:r w:rsidR="00B555FA" w:rsidRPr="00BA6714">
              <w:rPr>
                <w:rStyle w:val="Hyperlink"/>
                <w:noProof/>
              </w:rPr>
              <w:t>Financial Innovation and Financial Regulatory Dynamics</w:t>
            </w:r>
            <w:r w:rsidR="00B555FA">
              <w:rPr>
                <w:noProof/>
                <w:webHidden/>
              </w:rPr>
              <w:tab/>
            </w:r>
            <w:r w:rsidR="00B555FA">
              <w:rPr>
                <w:noProof/>
                <w:webHidden/>
              </w:rPr>
              <w:fldChar w:fldCharType="begin"/>
            </w:r>
            <w:r w:rsidR="00B555FA">
              <w:rPr>
                <w:noProof/>
                <w:webHidden/>
              </w:rPr>
              <w:instrText xml:space="preserve"> PAGEREF _Toc430353391 \h </w:instrText>
            </w:r>
            <w:r w:rsidR="00B555FA">
              <w:rPr>
                <w:noProof/>
                <w:webHidden/>
              </w:rPr>
            </w:r>
            <w:r w:rsidR="00B555FA">
              <w:rPr>
                <w:noProof/>
                <w:webHidden/>
              </w:rPr>
              <w:fldChar w:fldCharType="separate"/>
            </w:r>
            <w:r w:rsidR="00B555FA">
              <w:rPr>
                <w:noProof/>
                <w:webHidden/>
              </w:rPr>
              <w:t>8</w:t>
            </w:r>
            <w:r w:rsidR="00B555FA">
              <w:rPr>
                <w:noProof/>
                <w:webHidden/>
              </w:rPr>
              <w:fldChar w:fldCharType="end"/>
            </w:r>
          </w:hyperlink>
        </w:p>
        <w:p w:rsidR="00B555FA" w:rsidRDefault="00DE661E">
          <w:pPr>
            <w:pStyle w:val="TOC2"/>
            <w:rPr>
              <w:noProof/>
              <w:lang w:eastAsia="en-US"/>
            </w:rPr>
          </w:pPr>
          <w:hyperlink w:anchor="_Toc430353392" w:history="1">
            <w:r w:rsidR="00B555FA" w:rsidRPr="00BA6714">
              <w:rPr>
                <w:rStyle w:val="Hyperlink"/>
                <w:noProof/>
              </w:rPr>
              <w:t>An analysis of recent financial innovation</w:t>
            </w:r>
            <w:r w:rsidR="00B555FA">
              <w:rPr>
                <w:noProof/>
                <w:webHidden/>
              </w:rPr>
              <w:tab/>
            </w:r>
            <w:r w:rsidR="00B555FA">
              <w:rPr>
                <w:noProof/>
                <w:webHidden/>
              </w:rPr>
              <w:fldChar w:fldCharType="begin"/>
            </w:r>
            <w:r w:rsidR="00B555FA">
              <w:rPr>
                <w:noProof/>
                <w:webHidden/>
              </w:rPr>
              <w:instrText xml:space="preserve"> PAGEREF _Toc430353392 \h </w:instrText>
            </w:r>
            <w:r w:rsidR="00B555FA">
              <w:rPr>
                <w:noProof/>
                <w:webHidden/>
              </w:rPr>
            </w:r>
            <w:r w:rsidR="00B555FA">
              <w:rPr>
                <w:noProof/>
                <w:webHidden/>
              </w:rPr>
              <w:fldChar w:fldCharType="separate"/>
            </w:r>
            <w:r w:rsidR="00B555FA">
              <w:rPr>
                <w:noProof/>
                <w:webHidden/>
              </w:rPr>
              <w:t>10</w:t>
            </w:r>
            <w:r w:rsidR="00B555FA">
              <w:rPr>
                <w:noProof/>
                <w:webHidden/>
              </w:rPr>
              <w:fldChar w:fldCharType="end"/>
            </w:r>
          </w:hyperlink>
        </w:p>
        <w:p w:rsidR="00B555FA" w:rsidRDefault="00DE661E">
          <w:pPr>
            <w:pStyle w:val="TOC2"/>
            <w:rPr>
              <w:noProof/>
              <w:lang w:eastAsia="en-US"/>
            </w:rPr>
          </w:pPr>
          <w:hyperlink w:anchor="_Toc430353393" w:history="1">
            <w:r w:rsidR="00B555FA" w:rsidRPr="00BA6714">
              <w:rPr>
                <w:rStyle w:val="Hyperlink"/>
                <w:noProof/>
              </w:rPr>
              <w:t>Typology of techno-centric new entrants</w:t>
            </w:r>
            <w:r w:rsidR="00B555FA">
              <w:rPr>
                <w:noProof/>
                <w:webHidden/>
              </w:rPr>
              <w:tab/>
            </w:r>
            <w:r w:rsidR="00B555FA">
              <w:rPr>
                <w:noProof/>
                <w:webHidden/>
              </w:rPr>
              <w:fldChar w:fldCharType="begin"/>
            </w:r>
            <w:r w:rsidR="00B555FA">
              <w:rPr>
                <w:noProof/>
                <w:webHidden/>
              </w:rPr>
              <w:instrText xml:space="preserve"> PAGEREF _Toc430353393 \h </w:instrText>
            </w:r>
            <w:r w:rsidR="00B555FA">
              <w:rPr>
                <w:noProof/>
                <w:webHidden/>
              </w:rPr>
            </w:r>
            <w:r w:rsidR="00B555FA">
              <w:rPr>
                <w:noProof/>
                <w:webHidden/>
              </w:rPr>
              <w:fldChar w:fldCharType="separate"/>
            </w:r>
            <w:r w:rsidR="00B555FA">
              <w:rPr>
                <w:noProof/>
                <w:webHidden/>
              </w:rPr>
              <w:t>11</w:t>
            </w:r>
            <w:r w:rsidR="00B555FA">
              <w:rPr>
                <w:noProof/>
                <w:webHidden/>
              </w:rPr>
              <w:fldChar w:fldCharType="end"/>
            </w:r>
          </w:hyperlink>
        </w:p>
        <w:p w:rsidR="00B555FA" w:rsidRDefault="00DE661E">
          <w:pPr>
            <w:pStyle w:val="TOC2"/>
            <w:rPr>
              <w:noProof/>
              <w:lang w:eastAsia="en-US"/>
            </w:rPr>
          </w:pPr>
          <w:hyperlink w:anchor="_Toc430353394" w:history="1">
            <w:r w:rsidR="00B555FA" w:rsidRPr="00BA6714">
              <w:rPr>
                <w:rStyle w:val="Hyperlink"/>
                <w:noProof/>
              </w:rPr>
              <w:t>The MGS advantage restated</w:t>
            </w:r>
            <w:r w:rsidR="00B555FA">
              <w:rPr>
                <w:noProof/>
                <w:webHidden/>
              </w:rPr>
              <w:tab/>
            </w:r>
            <w:r w:rsidR="00B555FA">
              <w:rPr>
                <w:noProof/>
                <w:webHidden/>
              </w:rPr>
              <w:fldChar w:fldCharType="begin"/>
            </w:r>
            <w:r w:rsidR="00B555FA">
              <w:rPr>
                <w:noProof/>
                <w:webHidden/>
              </w:rPr>
              <w:instrText xml:space="preserve"> PAGEREF _Toc430353394 \h </w:instrText>
            </w:r>
            <w:r w:rsidR="00B555FA">
              <w:rPr>
                <w:noProof/>
                <w:webHidden/>
              </w:rPr>
            </w:r>
            <w:r w:rsidR="00B555FA">
              <w:rPr>
                <w:noProof/>
                <w:webHidden/>
              </w:rPr>
              <w:fldChar w:fldCharType="separate"/>
            </w:r>
            <w:r w:rsidR="00B555FA">
              <w:rPr>
                <w:noProof/>
                <w:webHidden/>
              </w:rPr>
              <w:t>12</w:t>
            </w:r>
            <w:r w:rsidR="00B555FA">
              <w:rPr>
                <w:noProof/>
                <w:webHidden/>
              </w:rPr>
              <w:fldChar w:fldCharType="end"/>
            </w:r>
          </w:hyperlink>
        </w:p>
        <w:p w:rsidR="00B555FA" w:rsidRDefault="00DE661E">
          <w:pPr>
            <w:pStyle w:val="TOC2"/>
            <w:rPr>
              <w:noProof/>
              <w:lang w:eastAsia="en-US"/>
            </w:rPr>
          </w:pPr>
          <w:hyperlink w:anchor="_Toc430353395" w:history="1">
            <w:r w:rsidR="00B555FA" w:rsidRPr="00BA6714">
              <w:rPr>
                <w:rStyle w:val="Hyperlink"/>
                <w:noProof/>
              </w:rPr>
              <w:t>MGS will need to shift operational capacities and market focus</w:t>
            </w:r>
            <w:r w:rsidR="00B555FA">
              <w:rPr>
                <w:noProof/>
                <w:webHidden/>
              </w:rPr>
              <w:tab/>
            </w:r>
            <w:r w:rsidR="00B555FA">
              <w:rPr>
                <w:noProof/>
                <w:webHidden/>
              </w:rPr>
              <w:fldChar w:fldCharType="begin"/>
            </w:r>
            <w:r w:rsidR="00B555FA">
              <w:rPr>
                <w:noProof/>
                <w:webHidden/>
              </w:rPr>
              <w:instrText xml:space="preserve"> PAGEREF _Toc430353395 \h </w:instrText>
            </w:r>
            <w:r w:rsidR="00B555FA">
              <w:rPr>
                <w:noProof/>
                <w:webHidden/>
              </w:rPr>
            </w:r>
            <w:r w:rsidR="00B555FA">
              <w:rPr>
                <w:noProof/>
                <w:webHidden/>
              </w:rPr>
              <w:fldChar w:fldCharType="separate"/>
            </w:r>
            <w:r w:rsidR="00B555FA">
              <w:rPr>
                <w:noProof/>
                <w:webHidden/>
              </w:rPr>
              <w:t>13</w:t>
            </w:r>
            <w:r w:rsidR="00B555FA">
              <w:rPr>
                <w:noProof/>
                <w:webHidden/>
              </w:rPr>
              <w:fldChar w:fldCharType="end"/>
            </w:r>
          </w:hyperlink>
        </w:p>
        <w:p w:rsidR="00B555FA" w:rsidRDefault="00DE661E">
          <w:pPr>
            <w:pStyle w:val="TOC2"/>
            <w:rPr>
              <w:noProof/>
              <w:lang w:eastAsia="en-US"/>
            </w:rPr>
          </w:pPr>
          <w:hyperlink w:anchor="_Toc430353396" w:history="1">
            <w:r w:rsidR="00B555FA" w:rsidRPr="00BA6714">
              <w:rPr>
                <w:rStyle w:val="Hyperlink"/>
                <w:noProof/>
              </w:rPr>
              <w:t>Leveraging operational aggregation to address issues of size</w:t>
            </w:r>
            <w:r w:rsidR="00B555FA">
              <w:rPr>
                <w:noProof/>
                <w:webHidden/>
              </w:rPr>
              <w:tab/>
            </w:r>
            <w:r w:rsidR="00B555FA">
              <w:rPr>
                <w:noProof/>
                <w:webHidden/>
              </w:rPr>
              <w:fldChar w:fldCharType="begin"/>
            </w:r>
            <w:r w:rsidR="00B555FA">
              <w:rPr>
                <w:noProof/>
                <w:webHidden/>
              </w:rPr>
              <w:instrText xml:space="preserve"> PAGEREF _Toc430353396 \h </w:instrText>
            </w:r>
            <w:r w:rsidR="00B555FA">
              <w:rPr>
                <w:noProof/>
                <w:webHidden/>
              </w:rPr>
            </w:r>
            <w:r w:rsidR="00B555FA">
              <w:rPr>
                <w:noProof/>
                <w:webHidden/>
              </w:rPr>
              <w:fldChar w:fldCharType="separate"/>
            </w:r>
            <w:r w:rsidR="00B555FA">
              <w:rPr>
                <w:noProof/>
                <w:webHidden/>
              </w:rPr>
              <w:t>14</w:t>
            </w:r>
            <w:r w:rsidR="00B555FA">
              <w:rPr>
                <w:noProof/>
                <w:webHidden/>
              </w:rPr>
              <w:fldChar w:fldCharType="end"/>
            </w:r>
          </w:hyperlink>
        </w:p>
        <w:p w:rsidR="00B555FA" w:rsidRDefault="00DE661E">
          <w:pPr>
            <w:pStyle w:val="TOC1"/>
            <w:rPr>
              <w:b w:val="0"/>
              <w:lang w:eastAsia="en-US"/>
            </w:rPr>
          </w:pPr>
          <w:hyperlink w:anchor="_Toc430353397" w:history="1">
            <w:r w:rsidR="00B555FA" w:rsidRPr="00BA6714">
              <w:rPr>
                <w:rStyle w:val="Hyperlink"/>
              </w:rPr>
              <w:t>IV.</w:t>
            </w:r>
            <w:r w:rsidR="00B555FA">
              <w:rPr>
                <w:b w:val="0"/>
                <w:lang w:eastAsia="en-US"/>
              </w:rPr>
              <w:tab/>
            </w:r>
            <w:r w:rsidR="00B555FA" w:rsidRPr="00BA6714">
              <w:rPr>
                <w:rStyle w:val="Hyperlink"/>
              </w:rPr>
              <w:t>Financing what</w:t>
            </w:r>
            <w:r w:rsidR="00B555FA">
              <w:rPr>
                <w:webHidden/>
              </w:rPr>
              <w:tab/>
            </w:r>
            <w:r w:rsidR="00B555FA">
              <w:rPr>
                <w:webHidden/>
              </w:rPr>
              <w:fldChar w:fldCharType="begin"/>
            </w:r>
            <w:r w:rsidR="00B555FA">
              <w:rPr>
                <w:webHidden/>
              </w:rPr>
              <w:instrText xml:space="preserve"> PAGEREF _Toc430353397 \h </w:instrText>
            </w:r>
            <w:r w:rsidR="00B555FA">
              <w:rPr>
                <w:webHidden/>
              </w:rPr>
            </w:r>
            <w:r w:rsidR="00B555FA">
              <w:rPr>
                <w:webHidden/>
              </w:rPr>
              <w:fldChar w:fldCharType="separate"/>
            </w:r>
            <w:r w:rsidR="00B555FA">
              <w:rPr>
                <w:webHidden/>
              </w:rPr>
              <w:t>15</w:t>
            </w:r>
            <w:r w:rsidR="00B555FA">
              <w:rPr>
                <w:webHidden/>
              </w:rPr>
              <w:fldChar w:fldCharType="end"/>
            </w:r>
          </w:hyperlink>
        </w:p>
        <w:p w:rsidR="00B555FA" w:rsidRDefault="00DE661E">
          <w:pPr>
            <w:pStyle w:val="TOC2"/>
            <w:rPr>
              <w:noProof/>
              <w:lang w:eastAsia="en-US"/>
            </w:rPr>
          </w:pPr>
          <w:hyperlink w:anchor="_Toc430353398" w:history="1">
            <w:r w:rsidR="00B555FA" w:rsidRPr="00BA6714">
              <w:rPr>
                <w:rStyle w:val="Hyperlink"/>
                <w:noProof/>
              </w:rPr>
              <w:t>Debt, Equity, or Hybrids</w:t>
            </w:r>
            <w:r w:rsidR="00B555FA">
              <w:rPr>
                <w:noProof/>
                <w:webHidden/>
              </w:rPr>
              <w:tab/>
            </w:r>
            <w:r w:rsidR="00B555FA">
              <w:rPr>
                <w:noProof/>
                <w:webHidden/>
              </w:rPr>
              <w:fldChar w:fldCharType="begin"/>
            </w:r>
            <w:r w:rsidR="00B555FA">
              <w:rPr>
                <w:noProof/>
                <w:webHidden/>
              </w:rPr>
              <w:instrText xml:space="preserve"> PAGEREF _Toc430353398 \h </w:instrText>
            </w:r>
            <w:r w:rsidR="00B555FA">
              <w:rPr>
                <w:noProof/>
                <w:webHidden/>
              </w:rPr>
            </w:r>
            <w:r w:rsidR="00B555FA">
              <w:rPr>
                <w:noProof/>
                <w:webHidden/>
              </w:rPr>
              <w:fldChar w:fldCharType="separate"/>
            </w:r>
            <w:r w:rsidR="00B555FA">
              <w:rPr>
                <w:noProof/>
                <w:webHidden/>
              </w:rPr>
              <w:t>15</w:t>
            </w:r>
            <w:r w:rsidR="00B555FA">
              <w:rPr>
                <w:noProof/>
                <w:webHidden/>
              </w:rPr>
              <w:fldChar w:fldCharType="end"/>
            </w:r>
          </w:hyperlink>
        </w:p>
        <w:p w:rsidR="00B555FA" w:rsidRDefault="00DE661E">
          <w:pPr>
            <w:pStyle w:val="TOC2"/>
            <w:rPr>
              <w:noProof/>
              <w:lang w:eastAsia="en-US"/>
            </w:rPr>
          </w:pPr>
          <w:hyperlink w:anchor="_Toc430353399" w:history="1">
            <w:r w:rsidR="00B555FA" w:rsidRPr="00BA6714">
              <w:rPr>
                <w:rStyle w:val="Hyperlink"/>
                <w:noProof/>
              </w:rPr>
              <w:t>Venture Capital as potential market competitor or MGS as a substitute to VC.</w:t>
            </w:r>
            <w:r w:rsidR="00B555FA">
              <w:rPr>
                <w:noProof/>
                <w:webHidden/>
              </w:rPr>
              <w:tab/>
            </w:r>
            <w:r w:rsidR="00B555FA">
              <w:rPr>
                <w:noProof/>
                <w:webHidden/>
              </w:rPr>
              <w:fldChar w:fldCharType="begin"/>
            </w:r>
            <w:r w:rsidR="00B555FA">
              <w:rPr>
                <w:noProof/>
                <w:webHidden/>
              </w:rPr>
              <w:instrText xml:space="preserve"> PAGEREF _Toc430353399 \h </w:instrText>
            </w:r>
            <w:r w:rsidR="00B555FA">
              <w:rPr>
                <w:noProof/>
                <w:webHidden/>
              </w:rPr>
            </w:r>
            <w:r w:rsidR="00B555FA">
              <w:rPr>
                <w:noProof/>
                <w:webHidden/>
              </w:rPr>
              <w:fldChar w:fldCharType="separate"/>
            </w:r>
            <w:r w:rsidR="00B555FA">
              <w:rPr>
                <w:noProof/>
                <w:webHidden/>
              </w:rPr>
              <w:t>15</w:t>
            </w:r>
            <w:r w:rsidR="00B555FA">
              <w:rPr>
                <w:noProof/>
                <w:webHidden/>
              </w:rPr>
              <w:fldChar w:fldCharType="end"/>
            </w:r>
          </w:hyperlink>
        </w:p>
        <w:p w:rsidR="00B555FA" w:rsidRDefault="00DE661E">
          <w:pPr>
            <w:pStyle w:val="TOC2"/>
            <w:rPr>
              <w:noProof/>
              <w:lang w:eastAsia="en-US"/>
            </w:rPr>
          </w:pPr>
          <w:hyperlink w:anchor="_Toc430353400" w:history="1">
            <w:r w:rsidR="00B555FA" w:rsidRPr="00BA6714">
              <w:rPr>
                <w:rStyle w:val="Hyperlink"/>
                <w:noProof/>
              </w:rPr>
              <w:t>Paying only for success – Modifying and leveraging the Competition Model</w:t>
            </w:r>
            <w:r w:rsidR="00B555FA">
              <w:rPr>
                <w:noProof/>
                <w:webHidden/>
              </w:rPr>
              <w:tab/>
            </w:r>
            <w:r w:rsidR="00B555FA">
              <w:rPr>
                <w:noProof/>
                <w:webHidden/>
              </w:rPr>
              <w:fldChar w:fldCharType="begin"/>
            </w:r>
            <w:r w:rsidR="00B555FA">
              <w:rPr>
                <w:noProof/>
                <w:webHidden/>
              </w:rPr>
              <w:instrText xml:space="preserve"> PAGEREF _Toc430353400 \h </w:instrText>
            </w:r>
            <w:r w:rsidR="00B555FA">
              <w:rPr>
                <w:noProof/>
                <w:webHidden/>
              </w:rPr>
            </w:r>
            <w:r w:rsidR="00B555FA">
              <w:rPr>
                <w:noProof/>
                <w:webHidden/>
              </w:rPr>
              <w:fldChar w:fldCharType="separate"/>
            </w:r>
            <w:r w:rsidR="00B555FA">
              <w:rPr>
                <w:noProof/>
                <w:webHidden/>
              </w:rPr>
              <w:t>15</w:t>
            </w:r>
            <w:r w:rsidR="00B555FA">
              <w:rPr>
                <w:noProof/>
                <w:webHidden/>
              </w:rPr>
              <w:fldChar w:fldCharType="end"/>
            </w:r>
          </w:hyperlink>
        </w:p>
        <w:p w:rsidR="00F62181" w:rsidRDefault="00F62181">
          <w:r>
            <w:rPr>
              <w:b/>
              <w:bCs/>
              <w:noProof/>
            </w:rPr>
            <w:fldChar w:fldCharType="end"/>
          </w:r>
        </w:p>
      </w:sdtContent>
    </w:sdt>
    <w:p w:rsidR="0091752D" w:rsidRDefault="0091752D" w:rsidP="00343132">
      <w:pPr>
        <w:pStyle w:val="NoSpacing"/>
        <w:rPr>
          <w:rFonts w:asciiTheme="majorHAnsi" w:hAnsiTheme="majorHAnsi" w:cstheme="minorHAnsi"/>
          <w:sz w:val="24"/>
          <w:szCs w:val="24"/>
        </w:rPr>
      </w:pPr>
    </w:p>
    <w:p w:rsidR="0091752D" w:rsidRDefault="0091752D">
      <w:pPr>
        <w:rPr>
          <w:rFonts w:asciiTheme="majorHAnsi" w:hAnsiTheme="majorHAnsi" w:cstheme="minorHAnsi"/>
          <w:sz w:val="24"/>
          <w:szCs w:val="24"/>
        </w:rPr>
      </w:pPr>
      <w:r>
        <w:rPr>
          <w:rFonts w:asciiTheme="majorHAnsi" w:hAnsiTheme="majorHAnsi" w:cstheme="minorHAnsi"/>
          <w:sz w:val="24"/>
          <w:szCs w:val="24"/>
        </w:rPr>
        <w:br w:type="page"/>
      </w:r>
    </w:p>
    <w:p w:rsidR="0091752D" w:rsidRDefault="00BB229B" w:rsidP="00F62181">
      <w:pPr>
        <w:pStyle w:val="Heading1"/>
        <w:numPr>
          <w:ilvl w:val="0"/>
          <w:numId w:val="1"/>
        </w:numPr>
      </w:pPr>
      <w:bookmarkStart w:id="0" w:name="_Toc430353386"/>
      <w:r>
        <w:lastRenderedPageBreak/>
        <w:t>Abstract</w:t>
      </w:r>
      <w:bookmarkEnd w:id="0"/>
    </w:p>
    <w:p w:rsidR="00026FC6" w:rsidRDefault="00DE5756" w:rsidP="00343132">
      <w:pPr>
        <w:pStyle w:val="NoSpacing"/>
        <w:rPr>
          <w:rFonts w:asciiTheme="majorHAnsi" w:hAnsiTheme="majorHAnsi" w:cstheme="minorHAnsi"/>
          <w:i/>
          <w:sz w:val="24"/>
          <w:szCs w:val="24"/>
        </w:rPr>
      </w:pPr>
      <w:r w:rsidRPr="00BB229B">
        <w:rPr>
          <w:rFonts w:asciiTheme="majorHAnsi" w:hAnsiTheme="majorHAnsi" w:cstheme="minorHAnsi"/>
          <w:i/>
          <w:sz w:val="24"/>
          <w:szCs w:val="24"/>
        </w:rPr>
        <w:t xml:space="preserve">Mutual Guarantee Societies </w:t>
      </w:r>
      <w:r>
        <w:rPr>
          <w:rFonts w:asciiTheme="majorHAnsi" w:hAnsiTheme="majorHAnsi" w:cstheme="minorHAnsi"/>
          <w:i/>
          <w:sz w:val="24"/>
          <w:szCs w:val="24"/>
        </w:rPr>
        <w:t>(</w:t>
      </w:r>
      <w:r w:rsidRPr="00BB229B">
        <w:rPr>
          <w:rFonts w:asciiTheme="majorHAnsi" w:hAnsiTheme="majorHAnsi" w:cstheme="minorHAnsi"/>
          <w:i/>
          <w:sz w:val="24"/>
          <w:szCs w:val="24"/>
        </w:rPr>
        <w:t>MGS</w:t>
      </w:r>
      <w:r>
        <w:rPr>
          <w:rFonts w:asciiTheme="majorHAnsi" w:hAnsiTheme="majorHAnsi" w:cstheme="minorHAnsi"/>
          <w:i/>
          <w:sz w:val="24"/>
          <w:szCs w:val="24"/>
        </w:rPr>
        <w:t>)</w:t>
      </w:r>
      <w:r w:rsidRPr="00BB229B">
        <w:rPr>
          <w:rFonts w:asciiTheme="majorHAnsi" w:hAnsiTheme="majorHAnsi" w:cstheme="minorHAnsi"/>
          <w:i/>
          <w:sz w:val="24"/>
          <w:szCs w:val="24"/>
        </w:rPr>
        <w:t xml:space="preserve"> are a group of SMEs </w:t>
      </w:r>
      <w:r>
        <w:rPr>
          <w:rFonts w:asciiTheme="majorHAnsi" w:hAnsiTheme="majorHAnsi" w:cstheme="minorHAnsi"/>
          <w:i/>
          <w:sz w:val="24"/>
          <w:szCs w:val="24"/>
        </w:rPr>
        <w:t xml:space="preserve">that operate in a specific sector, and </w:t>
      </w:r>
      <w:r w:rsidRPr="00BB229B">
        <w:rPr>
          <w:rFonts w:asciiTheme="majorHAnsi" w:hAnsiTheme="majorHAnsi" w:cstheme="minorHAnsi"/>
          <w:i/>
          <w:sz w:val="24"/>
          <w:szCs w:val="24"/>
        </w:rPr>
        <w:t>provide</w:t>
      </w:r>
      <w:r>
        <w:rPr>
          <w:rFonts w:asciiTheme="majorHAnsi" w:hAnsiTheme="majorHAnsi" w:cstheme="minorHAnsi"/>
          <w:i/>
          <w:sz w:val="24"/>
          <w:szCs w:val="24"/>
        </w:rPr>
        <w:t xml:space="preserve"> credit guarantees to other SMEs</w:t>
      </w:r>
      <w:r w:rsidRPr="00BB229B">
        <w:rPr>
          <w:rFonts w:asciiTheme="majorHAnsi" w:hAnsiTheme="majorHAnsi" w:cstheme="minorHAnsi"/>
          <w:i/>
          <w:sz w:val="24"/>
          <w:szCs w:val="24"/>
        </w:rPr>
        <w:t xml:space="preserve"> in their sector.</w:t>
      </w:r>
      <w:r>
        <w:rPr>
          <w:rFonts w:asciiTheme="majorHAnsi" w:hAnsiTheme="majorHAnsi" w:cstheme="minorHAnsi"/>
          <w:i/>
          <w:sz w:val="24"/>
          <w:szCs w:val="24"/>
        </w:rPr>
        <w:t xml:space="preserve"> </w:t>
      </w:r>
      <w:r w:rsidRPr="00BB229B">
        <w:rPr>
          <w:rFonts w:asciiTheme="majorHAnsi" w:hAnsiTheme="majorHAnsi" w:cstheme="minorHAnsi"/>
          <w:i/>
          <w:sz w:val="24"/>
          <w:szCs w:val="24"/>
        </w:rPr>
        <w:t xml:space="preserve">This experience affords MGS a </w:t>
      </w:r>
      <w:r w:rsidR="00837B65">
        <w:rPr>
          <w:rFonts w:asciiTheme="majorHAnsi" w:hAnsiTheme="majorHAnsi" w:cstheme="minorHAnsi"/>
          <w:i/>
          <w:sz w:val="24"/>
          <w:szCs w:val="24"/>
        </w:rPr>
        <w:t xml:space="preserve">strong </w:t>
      </w:r>
      <w:r w:rsidRPr="00BB229B">
        <w:rPr>
          <w:rFonts w:asciiTheme="majorHAnsi" w:hAnsiTheme="majorHAnsi" w:cstheme="minorHAnsi"/>
          <w:i/>
          <w:sz w:val="24"/>
          <w:szCs w:val="24"/>
        </w:rPr>
        <w:t xml:space="preserve">Lender-Borrower Affinity, where the lender knows the borrower, and a </w:t>
      </w:r>
      <w:r w:rsidR="00837B65">
        <w:rPr>
          <w:rFonts w:asciiTheme="majorHAnsi" w:hAnsiTheme="majorHAnsi" w:cstheme="minorHAnsi"/>
          <w:i/>
          <w:sz w:val="24"/>
          <w:szCs w:val="24"/>
        </w:rPr>
        <w:t xml:space="preserve">strong </w:t>
      </w:r>
      <w:r w:rsidRPr="00BB229B">
        <w:rPr>
          <w:rFonts w:asciiTheme="majorHAnsi" w:hAnsiTheme="majorHAnsi" w:cstheme="minorHAnsi"/>
          <w:i/>
          <w:sz w:val="24"/>
          <w:szCs w:val="24"/>
        </w:rPr>
        <w:t>Lender- End-Use Affinity, where the lender knows the borrower’s market.</w:t>
      </w:r>
      <w:r w:rsidR="00837B65">
        <w:rPr>
          <w:rFonts w:asciiTheme="majorHAnsi" w:hAnsiTheme="majorHAnsi" w:cstheme="minorHAnsi"/>
          <w:i/>
          <w:sz w:val="24"/>
          <w:szCs w:val="24"/>
        </w:rPr>
        <w:t xml:space="preserve"> </w:t>
      </w:r>
      <w:r w:rsidR="00BB229B" w:rsidRPr="00BB229B">
        <w:rPr>
          <w:rFonts w:asciiTheme="majorHAnsi" w:hAnsiTheme="majorHAnsi" w:cstheme="minorHAnsi"/>
          <w:i/>
          <w:sz w:val="24"/>
          <w:szCs w:val="24"/>
        </w:rPr>
        <w:t xml:space="preserve">This paper proposes leveraging the industry-specific knowledge of </w:t>
      </w:r>
      <w:r>
        <w:rPr>
          <w:rFonts w:asciiTheme="majorHAnsi" w:hAnsiTheme="majorHAnsi" w:cstheme="minorHAnsi"/>
          <w:i/>
          <w:sz w:val="24"/>
          <w:szCs w:val="24"/>
        </w:rPr>
        <w:t>MGS</w:t>
      </w:r>
      <w:r w:rsidR="00BB229B" w:rsidRPr="00BB229B">
        <w:rPr>
          <w:rFonts w:asciiTheme="majorHAnsi" w:hAnsiTheme="majorHAnsi" w:cstheme="minorHAnsi"/>
          <w:i/>
          <w:sz w:val="24"/>
          <w:szCs w:val="24"/>
        </w:rPr>
        <w:t xml:space="preserve"> </w:t>
      </w:r>
      <w:r w:rsidR="00837B65">
        <w:rPr>
          <w:rFonts w:asciiTheme="majorHAnsi" w:hAnsiTheme="majorHAnsi" w:cstheme="minorHAnsi"/>
          <w:i/>
          <w:sz w:val="24"/>
          <w:szCs w:val="24"/>
        </w:rPr>
        <w:t xml:space="preserve">(their Lender-End-Use Affinity) </w:t>
      </w:r>
      <w:r w:rsidR="00BB229B" w:rsidRPr="00BB229B">
        <w:rPr>
          <w:rFonts w:asciiTheme="majorHAnsi" w:hAnsiTheme="majorHAnsi" w:cstheme="minorHAnsi"/>
          <w:i/>
          <w:sz w:val="24"/>
          <w:szCs w:val="24"/>
        </w:rPr>
        <w:t xml:space="preserve">for assessing the commercial, scientific and credit validity of innovations directed at </w:t>
      </w:r>
      <w:r w:rsidR="00AF5019">
        <w:rPr>
          <w:rFonts w:asciiTheme="majorHAnsi" w:hAnsiTheme="majorHAnsi" w:cstheme="minorHAnsi"/>
          <w:i/>
          <w:sz w:val="24"/>
          <w:szCs w:val="24"/>
        </w:rPr>
        <w:t>their</w:t>
      </w:r>
      <w:r w:rsidR="00BB229B" w:rsidRPr="00BB229B">
        <w:rPr>
          <w:rFonts w:asciiTheme="majorHAnsi" w:hAnsiTheme="majorHAnsi" w:cstheme="minorHAnsi"/>
          <w:i/>
          <w:sz w:val="24"/>
          <w:szCs w:val="24"/>
        </w:rPr>
        <w:t xml:space="preserve"> sector and provided by Innovative Small and Medium Enterprises (SME). This concept attempts to replace existing physical or intangible collateral as the primary basis for extending credit to Innovative SMEs. </w:t>
      </w:r>
    </w:p>
    <w:p w:rsidR="00026FC6" w:rsidRDefault="00026FC6" w:rsidP="00343132">
      <w:pPr>
        <w:pStyle w:val="NoSpacing"/>
        <w:rPr>
          <w:rFonts w:asciiTheme="majorHAnsi" w:hAnsiTheme="majorHAnsi" w:cstheme="minorHAnsi"/>
          <w:i/>
          <w:sz w:val="24"/>
          <w:szCs w:val="24"/>
        </w:rPr>
      </w:pPr>
    </w:p>
    <w:p w:rsidR="00343132" w:rsidRPr="00BB229B" w:rsidRDefault="00BB229B" w:rsidP="00343132">
      <w:pPr>
        <w:pStyle w:val="NoSpacing"/>
        <w:rPr>
          <w:rFonts w:asciiTheme="majorHAnsi" w:hAnsiTheme="majorHAnsi" w:cstheme="minorHAnsi"/>
          <w:i/>
          <w:sz w:val="24"/>
          <w:szCs w:val="24"/>
        </w:rPr>
      </w:pPr>
      <w:r w:rsidRPr="00BB229B">
        <w:rPr>
          <w:rFonts w:asciiTheme="majorHAnsi" w:hAnsiTheme="majorHAnsi" w:cstheme="minorHAnsi"/>
          <w:i/>
          <w:sz w:val="24"/>
          <w:szCs w:val="24"/>
        </w:rPr>
        <w:t>Since their inception, MGS have successfully leveraged their Lender-Borrower Affinity, but have not leveraged their Lender- End-Use Affinity. Providing credit guarantees for innovation targeted at the</w:t>
      </w:r>
      <w:r w:rsidR="00026FC6">
        <w:rPr>
          <w:rFonts w:asciiTheme="majorHAnsi" w:hAnsiTheme="majorHAnsi" w:cstheme="minorHAnsi"/>
          <w:i/>
          <w:sz w:val="24"/>
          <w:szCs w:val="24"/>
        </w:rPr>
        <w:t>ir</w:t>
      </w:r>
      <w:r w:rsidRPr="00BB229B">
        <w:rPr>
          <w:rFonts w:asciiTheme="majorHAnsi" w:hAnsiTheme="majorHAnsi" w:cstheme="minorHAnsi"/>
          <w:i/>
          <w:sz w:val="24"/>
          <w:szCs w:val="24"/>
        </w:rPr>
        <w:t xml:space="preserve"> sector</w:t>
      </w:r>
      <w:r w:rsidR="00026FC6">
        <w:rPr>
          <w:rFonts w:asciiTheme="majorHAnsi" w:hAnsiTheme="majorHAnsi" w:cstheme="minorHAnsi"/>
          <w:i/>
          <w:sz w:val="24"/>
          <w:szCs w:val="24"/>
        </w:rPr>
        <w:t>,</w:t>
      </w:r>
      <w:r w:rsidRPr="00BB229B">
        <w:rPr>
          <w:rFonts w:asciiTheme="majorHAnsi" w:hAnsiTheme="majorHAnsi" w:cstheme="minorHAnsi"/>
          <w:i/>
          <w:sz w:val="24"/>
          <w:szCs w:val="24"/>
        </w:rPr>
        <w:t xml:space="preserve"> MGS would require (1) leveraging this Lender-End-Use Affinity</w:t>
      </w:r>
      <w:r w:rsidR="006D3177">
        <w:rPr>
          <w:rFonts w:asciiTheme="majorHAnsi" w:hAnsiTheme="majorHAnsi" w:cstheme="minorHAnsi"/>
          <w:i/>
          <w:sz w:val="24"/>
          <w:szCs w:val="24"/>
        </w:rPr>
        <w:t>,</w:t>
      </w:r>
      <w:r w:rsidRPr="00BB229B">
        <w:rPr>
          <w:rFonts w:asciiTheme="majorHAnsi" w:hAnsiTheme="majorHAnsi" w:cstheme="minorHAnsi"/>
          <w:i/>
          <w:sz w:val="24"/>
          <w:szCs w:val="24"/>
        </w:rPr>
        <w:t xml:space="preserve"> as well as (2) incorporating additional scientific knowledge, and (3) refocusing a small part of their p</w:t>
      </w:r>
      <w:r w:rsidR="00AF5019">
        <w:rPr>
          <w:rFonts w:asciiTheme="majorHAnsi" w:hAnsiTheme="majorHAnsi" w:cstheme="minorHAnsi"/>
          <w:i/>
          <w:sz w:val="24"/>
          <w:szCs w:val="24"/>
        </w:rPr>
        <w:t>ortfolio to financing innovation</w:t>
      </w:r>
      <w:r w:rsidRPr="00BB229B">
        <w:rPr>
          <w:rFonts w:asciiTheme="majorHAnsi" w:hAnsiTheme="majorHAnsi" w:cstheme="minorHAnsi"/>
          <w:i/>
          <w:sz w:val="24"/>
          <w:szCs w:val="24"/>
        </w:rPr>
        <w:t xml:space="preserve"> directed at their sector. This operational restructuring and market refocusing may expose MGS to significant additional operational costs and credit risk. These challenges are addressed by implementing the Concept at a higher aggregated MGS-level, and by including governments and </w:t>
      </w:r>
      <w:r>
        <w:rPr>
          <w:rFonts w:asciiTheme="majorHAnsi" w:hAnsiTheme="majorHAnsi" w:cstheme="minorHAnsi"/>
          <w:i/>
          <w:sz w:val="24"/>
          <w:szCs w:val="24"/>
        </w:rPr>
        <w:t xml:space="preserve">multilateral institutions that </w:t>
      </w:r>
      <w:r w:rsidRPr="00BB229B">
        <w:rPr>
          <w:rFonts w:asciiTheme="majorHAnsi" w:hAnsiTheme="majorHAnsi" w:cstheme="minorHAnsi"/>
          <w:i/>
          <w:sz w:val="24"/>
          <w:szCs w:val="24"/>
        </w:rPr>
        <w:t xml:space="preserve">for a long time have been keenly interested in investing in innovative SMEs but have not </w:t>
      </w:r>
      <w:r>
        <w:rPr>
          <w:rFonts w:asciiTheme="majorHAnsi" w:hAnsiTheme="majorHAnsi" w:cstheme="minorHAnsi"/>
          <w:i/>
          <w:sz w:val="24"/>
          <w:szCs w:val="24"/>
        </w:rPr>
        <w:t>fou</w:t>
      </w:r>
      <w:r w:rsidRPr="00BB229B">
        <w:rPr>
          <w:rFonts w:asciiTheme="majorHAnsi" w:hAnsiTheme="majorHAnsi" w:cstheme="minorHAnsi"/>
          <w:i/>
          <w:sz w:val="24"/>
          <w:szCs w:val="24"/>
        </w:rPr>
        <w:t>nd a way to implement an acceptable credit decision process</w:t>
      </w:r>
      <w:r w:rsidR="00AF5019">
        <w:rPr>
          <w:rFonts w:asciiTheme="majorHAnsi" w:hAnsiTheme="majorHAnsi" w:cstheme="minorHAnsi"/>
          <w:i/>
          <w:sz w:val="24"/>
          <w:szCs w:val="24"/>
        </w:rPr>
        <w:t xml:space="preserve">. </w:t>
      </w:r>
      <w:r w:rsidR="006D3177">
        <w:rPr>
          <w:rFonts w:asciiTheme="majorHAnsi" w:hAnsiTheme="majorHAnsi" w:cstheme="minorHAnsi"/>
          <w:i/>
          <w:sz w:val="24"/>
          <w:szCs w:val="24"/>
        </w:rPr>
        <w:t>Analyses of the Regulatory Dynamics in the financial sector and of recent financial innovations indicate</w:t>
      </w:r>
      <w:r w:rsidR="00AF5019">
        <w:rPr>
          <w:rFonts w:asciiTheme="majorHAnsi" w:hAnsiTheme="majorHAnsi" w:cstheme="minorHAnsi"/>
          <w:i/>
          <w:sz w:val="24"/>
          <w:szCs w:val="24"/>
        </w:rPr>
        <w:t xml:space="preserve"> that the particular advantage of MGS in this arena is not easily replaced or duplicated.</w:t>
      </w:r>
    </w:p>
    <w:p w:rsidR="0091752D" w:rsidRDefault="0091752D">
      <w:pPr>
        <w:rPr>
          <w:rFonts w:asciiTheme="majorHAnsi" w:hAnsiTheme="majorHAnsi" w:cstheme="minorHAnsi"/>
          <w:sz w:val="24"/>
          <w:szCs w:val="24"/>
        </w:rPr>
      </w:pPr>
      <w:bookmarkStart w:id="1" w:name="_GoBack"/>
      <w:bookmarkEnd w:id="1"/>
      <w:r>
        <w:rPr>
          <w:rFonts w:asciiTheme="majorHAnsi" w:hAnsiTheme="majorHAnsi" w:cstheme="minorHAnsi"/>
          <w:sz w:val="24"/>
          <w:szCs w:val="24"/>
        </w:rPr>
        <w:br w:type="page"/>
      </w:r>
    </w:p>
    <w:p w:rsidR="00343132" w:rsidRDefault="00707926" w:rsidP="00F62181">
      <w:pPr>
        <w:pStyle w:val="Heading1"/>
        <w:numPr>
          <w:ilvl w:val="0"/>
          <w:numId w:val="1"/>
        </w:numPr>
      </w:pPr>
      <w:bookmarkStart w:id="2" w:name="_Toc430353387"/>
      <w:r>
        <w:lastRenderedPageBreak/>
        <w:t>Introduction</w:t>
      </w:r>
      <w:bookmarkEnd w:id="2"/>
    </w:p>
    <w:p w:rsidR="00C1597E" w:rsidRDefault="003602DB" w:rsidP="008937A8">
      <w:pPr>
        <w:spacing w:after="120"/>
        <w:rPr>
          <w:rFonts w:asciiTheme="majorHAnsi" w:hAnsiTheme="majorHAnsi"/>
        </w:rPr>
      </w:pPr>
      <w:r w:rsidRPr="003602DB">
        <w:rPr>
          <w:rFonts w:asciiTheme="majorHAnsi" w:hAnsiTheme="majorHAnsi"/>
          <w:i/>
        </w:rPr>
        <w:t>Financial innovation</w:t>
      </w:r>
      <w:r>
        <w:rPr>
          <w:rFonts w:asciiTheme="majorHAnsi" w:hAnsiTheme="majorHAnsi"/>
        </w:rPr>
        <w:t xml:space="preserve">, the introduction of new financial products or processes, has been around </w:t>
      </w:r>
      <w:r w:rsidR="008937A8">
        <w:rPr>
          <w:rFonts w:asciiTheme="majorHAnsi" w:hAnsiTheme="majorHAnsi"/>
        </w:rPr>
        <w:t>for a long time</w:t>
      </w:r>
      <w:r w:rsidR="00A36D30">
        <w:rPr>
          <w:rFonts w:asciiTheme="majorHAnsi" w:hAnsiTheme="majorHAnsi"/>
        </w:rPr>
        <w:t>,</w:t>
      </w:r>
      <w:r w:rsidR="008937A8">
        <w:rPr>
          <w:rFonts w:asciiTheme="majorHAnsi" w:hAnsiTheme="majorHAnsi"/>
        </w:rPr>
        <w:t xml:space="preserve"> and has been a</w:t>
      </w:r>
      <w:r w:rsidR="00A36D30">
        <w:rPr>
          <w:rFonts w:asciiTheme="majorHAnsi" w:hAnsiTheme="majorHAnsi"/>
        </w:rPr>
        <w:t>n</w:t>
      </w:r>
      <w:r w:rsidR="008937A8">
        <w:rPr>
          <w:rFonts w:asciiTheme="majorHAnsi" w:hAnsiTheme="majorHAnsi"/>
        </w:rPr>
        <w:t xml:space="preserve"> </w:t>
      </w:r>
      <w:r w:rsidR="00980CC7">
        <w:rPr>
          <w:rFonts w:asciiTheme="majorHAnsi" w:hAnsiTheme="majorHAnsi"/>
        </w:rPr>
        <w:t>integral</w:t>
      </w:r>
      <w:r w:rsidR="008937A8">
        <w:rPr>
          <w:rFonts w:asciiTheme="majorHAnsi" w:hAnsiTheme="majorHAnsi"/>
        </w:rPr>
        <w:t xml:space="preserve"> part of how financial institutions evolve to </w:t>
      </w:r>
      <w:r w:rsidR="00C1597E">
        <w:rPr>
          <w:rFonts w:asciiTheme="majorHAnsi" w:hAnsiTheme="majorHAnsi"/>
        </w:rPr>
        <w:t>address</w:t>
      </w:r>
      <w:r w:rsidR="008937A8">
        <w:rPr>
          <w:rFonts w:asciiTheme="majorHAnsi" w:hAnsiTheme="majorHAnsi"/>
        </w:rPr>
        <w:t xml:space="preserve"> new challenges or opportunities</w:t>
      </w:r>
      <w:r w:rsidR="00C1597E">
        <w:rPr>
          <w:rStyle w:val="FootnoteReference"/>
          <w:rFonts w:asciiTheme="majorHAnsi" w:hAnsiTheme="majorHAnsi"/>
        </w:rPr>
        <w:footnoteReference w:id="1"/>
      </w:r>
      <w:r w:rsidR="008937A8">
        <w:rPr>
          <w:rFonts w:asciiTheme="majorHAnsi" w:hAnsiTheme="majorHAnsi"/>
        </w:rPr>
        <w:t>.</w:t>
      </w:r>
      <w:r>
        <w:rPr>
          <w:rFonts w:asciiTheme="majorHAnsi" w:hAnsiTheme="majorHAnsi"/>
        </w:rPr>
        <w:t xml:space="preserve"> </w:t>
      </w:r>
      <w:r w:rsidR="008937A8">
        <w:rPr>
          <w:rFonts w:asciiTheme="majorHAnsi" w:hAnsiTheme="majorHAnsi"/>
        </w:rPr>
        <w:t>The pace and comp</w:t>
      </w:r>
      <w:r w:rsidR="00A36D30">
        <w:rPr>
          <w:rFonts w:asciiTheme="majorHAnsi" w:hAnsiTheme="majorHAnsi"/>
        </w:rPr>
        <w:t>lexity of financial innovation accelerated</w:t>
      </w:r>
      <w:r w:rsidR="008937A8">
        <w:rPr>
          <w:rFonts w:asciiTheme="majorHAnsi" w:hAnsiTheme="majorHAnsi"/>
        </w:rPr>
        <w:t xml:space="preserve"> after the liberalization of </w:t>
      </w:r>
      <w:r w:rsidR="00980CC7">
        <w:rPr>
          <w:rFonts w:asciiTheme="majorHAnsi" w:hAnsiTheme="majorHAnsi"/>
        </w:rPr>
        <w:t>capital flows</w:t>
      </w:r>
      <w:r w:rsidR="008937A8">
        <w:rPr>
          <w:rFonts w:asciiTheme="majorHAnsi" w:hAnsiTheme="majorHAnsi"/>
        </w:rPr>
        <w:t>, and the ensuing development o</w:t>
      </w:r>
      <w:r w:rsidR="00C1597E">
        <w:rPr>
          <w:rFonts w:asciiTheme="majorHAnsi" w:hAnsiTheme="majorHAnsi"/>
        </w:rPr>
        <w:t>f global financial institutions</w:t>
      </w:r>
      <w:r w:rsidR="008937A8">
        <w:rPr>
          <w:rFonts w:asciiTheme="majorHAnsi" w:hAnsiTheme="majorHAnsi"/>
        </w:rPr>
        <w:t xml:space="preserve"> and markets. About the same time</w:t>
      </w:r>
      <w:r w:rsidR="00A36D30">
        <w:rPr>
          <w:rFonts w:asciiTheme="majorHAnsi" w:hAnsiTheme="majorHAnsi"/>
        </w:rPr>
        <w:t>,</w:t>
      </w:r>
      <w:r w:rsidR="008937A8">
        <w:rPr>
          <w:rFonts w:asciiTheme="majorHAnsi" w:hAnsiTheme="majorHAnsi"/>
        </w:rPr>
        <w:t xml:space="preserve"> financial </w:t>
      </w:r>
      <w:r w:rsidR="00A36D30">
        <w:rPr>
          <w:rFonts w:asciiTheme="majorHAnsi" w:hAnsiTheme="majorHAnsi"/>
        </w:rPr>
        <w:t>institutions</w:t>
      </w:r>
      <w:r w:rsidR="008937A8">
        <w:rPr>
          <w:rFonts w:asciiTheme="majorHAnsi" w:hAnsiTheme="majorHAnsi"/>
        </w:rPr>
        <w:t xml:space="preserve"> began to make gre</w:t>
      </w:r>
      <w:r w:rsidR="00980CC7">
        <w:rPr>
          <w:rFonts w:asciiTheme="majorHAnsi" w:hAnsiTheme="majorHAnsi"/>
        </w:rPr>
        <w:t>ater use of computers. More recently</w:t>
      </w:r>
      <w:r w:rsidR="00DA4679">
        <w:rPr>
          <w:rFonts w:asciiTheme="majorHAnsi" w:hAnsiTheme="majorHAnsi"/>
        </w:rPr>
        <w:t>,</w:t>
      </w:r>
      <w:r w:rsidR="00980CC7">
        <w:rPr>
          <w:rFonts w:asciiTheme="majorHAnsi" w:hAnsiTheme="majorHAnsi"/>
        </w:rPr>
        <w:t xml:space="preserve"> </w:t>
      </w:r>
      <w:r w:rsidR="008937A8">
        <w:rPr>
          <w:rFonts w:asciiTheme="majorHAnsi" w:hAnsiTheme="majorHAnsi"/>
        </w:rPr>
        <w:t xml:space="preserve">the advent of the Internet </w:t>
      </w:r>
      <w:r w:rsidR="00980CC7">
        <w:rPr>
          <w:rFonts w:asciiTheme="majorHAnsi" w:hAnsiTheme="majorHAnsi"/>
        </w:rPr>
        <w:t xml:space="preserve">allowed them to </w:t>
      </w:r>
      <w:r w:rsidR="008937A8">
        <w:rPr>
          <w:rFonts w:asciiTheme="majorHAnsi" w:hAnsiTheme="majorHAnsi"/>
        </w:rPr>
        <w:t>ma</w:t>
      </w:r>
      <w:r w:rsidR="00980CC7">
        <w:rPr>
          <w:rFonts w:asciiTheme="majorHAnsi" w:hAnsiTheme="majorHAnsi"/>
        </w:rPr>
        <w:t>k</w:t>
      </w:r>
      <w:r w:rsidR="008937A8">
        <w:rPr>
          <w:rFonts w:asciiTheme="majorHAnsi" w:hAnsiTheme="majorHAnsi"/>
        </w:rPr>
        <w:t xml:space="preserve">e great use of </w:t>
      </w:r>
      <w:r w:rsidR="008937A8" w:rsidRPr="008937A8">
        <w:rPr>
          <w:rFonts w:asciiTheme="majorHAnsi" w:hAnsiTheme="majorHAnsi"/>
          <w:i/>
        </w:rPr>
        <w:t>Information Communication Technology (ICT)</w:t>
      </w:r>
      <w:r w:rsidR="008937A8">
        <w:rPr>
          <w:rFonts w:asciiTheme="majorHAnsi" w:hAnsiTheme="majorHAnsi"/>
        </w:rPr>
        <w:t>.</w:t>
      </w:r>
      <w:r w:rsidR="00A36D30">
        <w:rPr>
          <w:rFonts w:asciiTheme="majorHAnsi" w:hAnsiTheme="majorHAnsi"/>
        </w:rPr>
        <w:t xml:space="preserve"> Up to this point, the bulk of financial institutions consisted of commercial banks, investment banks, and finance companies that were in the regulatory domain of financial regulators.</w:t>
      </w:r>
      <w:r w:rsidR="00C1597E">
        <w:rPr>
          <w:rStyle w:val="FootnoteReference"/>
          <w:rFonts w:asciiTheme="majorHAnsi" w:hAnsiTheme="majorHAnsi"/>
        </w:rPr>
        <w:footnoteReference w:id="2"/>
      </w:r>
    </w:p>
    <w:p w:rsidR="00971285" w:rsidRDefault="007D47B7" w:rsidP="008937A8">
      <w:pPr>
        <w:spacing w:after="120"/>
        <w:rPr>
          <w:rFonts w:asciiTheme="majorHAnsi" w:hAnsiTheme="majorHAnsi"/>
        </w:rPr>
      </w:pPr>
      <w:r w:rsidRPr="000B5D35">
        <w:rPr>
          <w:rFonts w:asciiTheme="majorHAnsi" w:hAnsiTheme="majorHAnsi"/>
        </w:rPr>
        <w:t xml:space="preserve">The financial and </w:t>
      </w:r>
      <w:r w:rsidR="00980CC7">
        <w:rPr>
          <w:rFonts w:asciiTheme="majorHAnsi" w:hAnsiTheme="majorHAnsi"/>
        </w:rPr>
        <w:t xml:space="preserve">global </w:t>
      </w:r>
      <w:r w:rsidRPr="000B5D35">
        <w:rPr>
          <w:rFonts w:asciiTheme="majorHAnsi" w:hAnsiTheme="majorHAnsi"/>
        </w:rPr>
        <w:t>economic crisis of 2008-2009 seems to have worsened a</w:t>
      </w:r>
      <w:r w:rsidR="009725D4" w:rsidRPr="000B5D35">
        <w:rPr>
          <w:rFonts w:asciiTheme="majorHAnsi" w:hAnsiTheme="majorHAnsi"/>
        </w:rPr>
        <w:t>n already existing credit gap for entrepreneurs and</w:t>
      </w:r>
      <w:r w:rsidRPr="000B5D35">
        <w:rPr>
          <w:rFonts w:asciiTheme="majorHAnsi" w:hAnsiTheme="majorHAnsi"/>
        </w:rPr>
        <w:t xml:space="preserve"> </w:t>
      </w:r>
      <w:r w:rsidRPr="000B5D35">
        <w:rPr>
          <w:rFonts w:asciiTheme="majorHAnsi" w:hAnsiTheme="majorHAnsi"/>
          <w:i/>
        </w:rPr>
        <w:t>Medium and Small Enterprises (SME)</w:t>
      </w:r>
      <w:r w:rsidR="009725D4" w:rsidRPr="000B5D35">
        <w:rPr>
          <w:rStyle w:val="FootnoteReference"/>
          <w:rFonts w:asciiTheme="majorHAnsi" w:hAnsiTheme="majorHAnsi"/>
          <w:i/>
        </w:rPr>
        <w:footnoteReference w:id="3"/>
      </w:r>
      <w:r w:rsidRPr="000B5D35">
        <w:rPr>
          <w:rFonts w:asciiTheme="majorHAnsi" w:hAnsiTheme="majorHAnsi"/>
        </w:rPr>
        <w:t>.</w:t>
      </w:r>
      <w:r w:rsidR="009725D4" w:rsidRPr="000B5D35">
        <w:rPr>
          <w:rFonts w:asciiTheme="majorHAnsi" w:hAnsiTheme="majorHAnsi"/>
        </w:rPr>
        <w:t xml:space="preserve"> </w:t>
      </w:r>
      <w:r w:rsidR="00A36D30" w:rsidRPr="000B5D35">
        <w:rPr>
          <w:rFonts w:asciiTheme="majorHAnsi" w:hAnsiTheme="majorHAnsi"/>
        </w:rPr>
        <w:t xml:space="preserve">Building on these technological innovations, and </w:t>
      </w:r>
      <w:r w:rsidR="007A7260" w:rsidRPr="000B5D35">
        <w:rPr>
          <w:rFonts w:asciiTheme="majorHAnsi" w:hAnsiTheme="majorHAnsi"/>
        </w:rPr>
        <w:t xml:space="preserve">responding to </w:t>
      </w:r>
      <w:r w:rsidR="009725D4" w:rsidRPr="000B5D35">
        <w:rPr>
          <w:rFonts w:asciiTheme="majorHAnsi" w:hAnsiTheme="majorHAnsi"/>
        </w:rPr>
        <w:t xml:space="preserve">the worsening SME credit gap, </w:t>
      </w:r>
      <w:r w:rsidR="00A36D30" w:rsidRPr="000B5D35">
        <w:rPr>
          <w:rFonts w:asciiTheme="majorHAnsi" w:hAnsiTheme="majorHAnsi"/>
        </w:rPr>
        <w:t>non-f</w:t>
      </w:r>
      <w:r w:rsidR="003602DB" w:rsidRPr="000B5D35">
        <w:rPr>
          <w:rFonts w:asciiTheme="majorHAnsi" w:hAnsiTheme="majorHAnsi"/>
        </w:rPr>
        <w:t xml:space="preserve">inancial, technologically-centric firms </w:t>
      </w:r>
      <w:r w:rsidR="00A36D30" w:rsidRPr="000B5D35">
        <w:rPr>
          <w:rFonts w:asciiTheme="majorHAnsi" w:hAnsiTheme="majorHAnsi"/>
        </w:rPr>
        <w:t xml:space="preserve">entered </w:t>
      </w:r>
      <w:r w:rsidR="003602DB" w:rsidRPr="000B5D35">
        <w:rPr>
          <w:rFonts w:asciiTheme="majorHAnsi" w:hAnsiTheme="majorHAnsi"/>
        </w:rPr>
        <w:t xml:space="preserve">the unregulated, or lightly regulated financial </w:t>
      </w:r>
      <w:r w:rsidR="00A36D30" w:rsidRPr="000B5D35">
        <w:rPr>
          <w:rFonts w:asciiTheme="majorHAnsi" w:hAnsiTheme="majorHAnsi"/>
        </w:rPr>
        <w:t>sector</w:t>
      </w:r>
      <w:r w:rsidR="009725D4" w:rsidRPr="000B5D35">
        <w:rPr>
          <w:rFonts w:asciiTheme="majorHAnsi" w:hAnsiTheme="majorHAnsi"/>
        </w:rPr>
        <w:t xml:space="preserve"> to meet this</w:t>
      </w:r>
      <w:r w:rsidRPr="000B5D35">
        <w:rPr>
          <w:rFonts w:asciiTheme="majorHAnsi" w:hAnsiTheme="majorHAnsi"/>
        </w:rPr>
        <w:t xml:space="preserve"> credit gap</w:t>
      </w:r>
      <w:r w:rsidR="009725D4" w:rsidRPr="000B5D35">
        <w:rPr>
          <w:rFonts w:asciiTheme="majorHAnsi" w:hAnsiTheme="majorHAnsi"/>
        </w:rPr>
        <w:t xml:space="preserve">. </w:t>
      </w:r>
      <w:r w:rsidR="00533ED3" w:rsidRPr="000B5D35">
        <w:rPr>
          <w:rFonts w:asciiTheme="majorHAnsi" w:hAnsiTheme="majorHAnsi"/>
        </w:rPr>
        <w:t>These new entrants</w:t>
      </w:r>
      <w:r w:rsidR="00980CC7">
        <w:rPr>
          <w:rFonts w:asciiTheme="majorHAnsi" w:hAnsiTheme="majorHAnsi"/>
        </w:rPr>
        <w:t>’</w:t>
      </w:r>
      <w:r w:rsidR="00533ED3" w:rsidRPr="000B5D35">
        <w:rPr>
          <w:rFonts w:asciiTheme="majorHAnsi" w:hAnsiTheme="majorHAnsi"/>
        </w:rPr>
        <w:t xml:space="preserve"> </w:t>
      </w:r>
      <w:r w:rsidR="00387034" w:rsidRPr="000B5D35">
        <w:rPr>
          <w:rFonts w:asciiTheme="majorHAnsi" w:hAnsiTheme="majorHAnsi"/>
        </w:rPr>
        <w:t>use</w:t>
      </w:r>
      <w:r w:rsidR="001148DB" w:rsidRPr="000B5D35">
        <w:rPr>
          <w:rFonts w:asciiTheme="majorHAnsi" w:hAnsiTheme="majorHAnsi"/>
        </w:rPr>
        <w:t xml:space="preserve"> non-traditional data</w:t>
      </w:r>
      <w:r w:rsidR="00980CC7">
        <w:rPr>
          <w:rFonts w:asciiTheme="majorHAnsi" w:hAnsiTheme="majorHAnsi"/>
        </w:rPr>
        <w:t>-gathering methods</w:t>
      </w:r>
      <w:r w:rsidR="001148DB" w:rsidRPr="000B5D35">
        <w:rPr>
          <w:rFonts w:asciiTheme="majorHAnsi" w:hAnsiTheme="majorHAnsi"/>
        </w:rPr>
        <w:t xml:space="preserve"> </w:t>
      </w:r>
      <w:r w:rsidR="00387034" w:rsidRPr="000B5D35">
        <w:rPr>
          <w:rFonts w:asciiTheme="majorHAnsi" w:hAnsiTheme="majorHAnsi"/>
        </w:rPr>
        <w:t>to address</w:t>
      </w:r>
      <w:r w:rsidR="00533ED3" w:rsidRPr="000B5D35">
        <w:rPr>
          <w:rFonts w:asciiTheme="majorHAnsi" w:hAnsiTheme="majorHAnsi"/>
        </w:rPr>
        <w:t xml:space="preserve"> the age-old problem of asymmetrical information with SME financing, w</w:t>
      </w:r>
      <w:r w:rsidR="00DA4679">
        <w:rPr>
          <w:rFonts w:asciiTheme="majorHAnsi" w:hAnsiTheme="majorHAnsi"/>
        </w:rPr>
        <w:t>h</w:t>
      </w:r>
      <w:r w:rsidR="00533ED3" w:rsidRPr="000B5D35">
        <w:rPr>
          <w:rFonts w:asciiTheme="majorHAnsi" w:hAnsiTheme="majorHAnsi"/>
        </w:rPr>
        <w:t>ere the lenders know less than the borrower about the SME</w:t>
      </w:r>
      <w:r w:rsidR="001148DB" w:rsidRPr="000B5D35">
        <w:rPr>
          <w:rStyle w:val="FootnoteReference"/>
          <w:rFonts w:asciiTheme="majorHAnsi" w:hAnsiTheme="majorHAnsi"/>
        </w:rPr>
        <w:footnoteReference w:id="4"/>
      </w:r>
      <w:r w:rsidR="00533ED3" w:rsidRPr="000B5D35">
        <w:rPr>
          <w:rFonts w:asciiTheme="majorHAnsi" w:hAnsiTheme="majorHAnsi"/>
        </w:rPr>
        <w:t>.</w:t>
      </w:r>
      <w:r w:rsidR="001148DB" w:rsidRPr="000B5D35">
        <w:rPr>
          <w:rFonts w:asciiTheme="majorHAnsi" w:hAnsiTheme="majorHAnsi"/>
        </w:rPr>
        <w:t xml:space="preserve"> As such, most of the innovation introduced by these new entrants has been in the form of </w:t>
      </w:r>
      <w:r w:rsidR="001148DB" w:rsidRPr="000B5D35">
        <w:rPr>
          <w:rFonts w:asciiTheme="majorHAnsi" w:hAnsiTheme="majorHAnsi"/>
          <w:i/>
        </w:rPr>
        <w:t>financial process innovation</w:t>
      </w:r>
      <w:r w:rsidR="001148DB" w:rsidRPr="000B5D35">
        <w:rPr>
          <w:rFonts w:asciiTheme="majorHAnsi" w:hAnsiTheme="majorHAnsi"/>
        </w:rPr>
        <w:t xml:space="preserve"> that </w:t>
      </w:r>
      <w:r w:rsidR="00980CC7">
        <w:rPr>
          <w:rFonts w:asciiTheme="majorHAnsi" w:hAnsiTheme="majorHAnsi"/>
        </w:rPr>
        <w:t>reduces</w:t>
      </w:r>
      <w:r w:rsidR="001148DB" w:rsidRPr="000B5D35">
        <w:rPr>
          <w:rFonts w:asciiTheme="majorHAnsi" w:hAnsiTheme="majorHAnsi"/>
        </w:rPr>
        <w:t xml:space="preserve"> the time </w:t>
      </w:r>
      <w:r w:rsidR="00387034" w:rsidRPr="000B5D35">
        <w:rPr>
          <w:rFonts w:asciiTheme="majorHAnsi" w:hAnsiTheme="majorHAnsi"/>
        </w:rPr>
        <w:t>or</w:t>
      </w:r>
      <w:r w:rsidR="001148DB" w:rsidRPr="000B5D35">
        <w:rPr>
          <w:rFonts w:asciiTheme="majorHAnsi" w:hAnsiTheme="majorHAnsi"/>
        </w:rPr>
        <w:t xml:space="preserve"> cost </w:t>
      </w:r>
      <w:r w:rsidR="00387034" w:rsidRPr="000B5D35">
        <w:rPr>
          <w:rFonts w:asciiTheme="majorHAnsi" w:hAnsiTheme="majorHAnsi"/>
        </w:rPr>
        <w:t>in</w:t>
      </w:r>
      <w:r w:rsidR="001148DB" w:rsidRPr="000B5D35">
        <w:rPr>
          <w:rFonts w:asciiTheme="majorHAnsi" w:hAnsiTheme="majorHAnsi"/>
        </w:rPr>
        <w:t xml:space="preserve"> the</w:t>
      </w:r>
      <w:r w:rsidR="00387034" w:rsidRPr="000B5D35">
        <w:rPr>
          <w:rFonts w:asciiTheme="majorHAnsi" w:hAnsiTheme="majorHAnsi"/>
        </w:rPr>
        <w:t xml:space="preserve"> cred</w:t>
      </w:r>
      <w:r w:rsidR="00980CC7">
        <w:rPr>
          <w:rFonts w:asciiTheme="majorHAnsi" w:hAnsiTheme="majorHAnsi"/>
        </w:rPr>
        <w:t>it decision making process</w:t>
      </w:r>
      <w:r w:rsidR="00387034" w:rsidRPr="000B5D35">
        <w:rPr>
          <w:rFonts w:asciiTheme="majorHAnsi" w:hAnsiTheme="majorHAnsi"/>
        </w:rPr>
        <w:t>.</w:t>
      </w:r>
      <w:r w:rsidR="001148DB" w:rsidRPr="000B5D35">
        <w:rPr>
          <w:rFonts w:asciiTheme="majorHAnsi" w:hAnsiTheme="majorHAnsi"/>
        </w:rPr>
        <w:t xml:space="preserve"> </w:t>
      </w:r>
      <w:r w:rsidR="00606772" w:rsidRPr="000B5D35">
        <w:rPr>
          <w:rFonts w:asciiTheme="majorHAnsi" w:hAnsiTheme="majorHAnsi"/>
        </w:rPr>
        <w:t xml:space="preserve">This allowed </w:t>
      </w:r>
      <w:r w:rsidR="001148DB" w:rsidRPr="000B5D35">
        <w:rPr>
          <w:rFonts w:asciiTheme="majorHAnsi" w:hAnsiTheme="majorHAnsi"/>
        </w:rPr>
        <w:t xml:space="preserve">these new entrants to extend credit to entrepreneurs and SMEs </w:t>
      </w:r>
      <w:r w:rsidR="00387034" w:rsidRPr="000B5D35">
        <w:rPr>
          <w:rFonts w:asciiTheme="majorHAnsi" w:hAnsiTheme="majorHAnsi"/>
        </w:rPr>
        <w:t xml:space="preserve">that were </w:t>
      </w:r>
      <w:r w:rsidR="001148DB" w:rsidRPr="000B5D35">
        <w:rPr>
          <w:rFonts w:asciiTheme="majorHAnsi" w:hAnsiTheme="majorHAnsi"/>
        </w:rPr>
        <w:t>underserved by traditional financial institutions.</w:t>
      </w:r>
      <w:r w:rsidR="00606772" w:rsidRPr="000B5D35">
        <w:rPr>
          <w:rFonts w:asciiTheme="majorHAnsi" w:hAnsiTheme="majorHAnsi"/>
        </w:rPr>
        <w:t xml:space="preserve"> This increased democratization of SME credit came </w:t>
      </w:r>
      <w:r w:rsidR="009A2981" w:rsidRPr="000B5D35">
        <w:rPr>
          <w:rFonts w:asciiTheme="majorHAnsi" w:hAnsiTheme="majorHAnsi"/>
        </w:rPr>
        <w:t xml:space="preserve">mostly </w:t>
      </w:r>
      <w:r w:rsidR="00606772" w:rsidRPr="000B5D35">
        <w:rPr>
          <w:rFonts w:asciiTheme="majorHAnsi" w:hAnsiTheme="majorHAnsi"/>
        </w:rPr>
        <w:t>in the form of traditiona</w:t>
      </w:r>
      <w:r w:rsidR="00387034" w:rsidRPr="000B5D35">
        <w:rPr>
          <w:rFonts w:asciiTheme="majorHAnsi" w:hAnsiTheme="majorHAnsi"/>
        </w:rPr>
        <w:t>l credit products such as loans or</w:t>
      </w:r>
      <w:r w:rsidR="00606772" w:rsidRPr="000B5D35">
        <w:rPr>
          <w:rFonts w:asciiTheme="majorHAnsi" w:hAnsiTheme="majorHAnsi"/>
        </w:rPr>
        <w:t xml:space="preserve"> </w:t>
      </w:r>
      <w:r w:rsidR="00606772" w:rsidRPr="000B5D35">
        <w:rPr>
          <w:rFonts w:asciiTheme="majorHAnsi" w:hAnsiTheme="majorHAnsi"/>
          <w:i/>
        </w:rPr>
        <w:t>trade finance</w:t>
      </w:r>
      <w:r w:rsidR="00606772" w:rsidRPr="000B5D35">
        <w:rPr>
          <w:rFonts w:asciiTheme="majorHAnsi" w:hAnsiTheme="majorHAnsi"/>
        </w:rPr>
        <w:t xml:space="preserve">, and not in the form of new products, </w:t>
      </w:r>
      <w:r w:rsidR="00980CC7">
        <w:rPr>
          <w:rFonts w:asciiTheme="majorHAnsi" w:hAnsiTheme="majorHAnsi"/>
        </w:rPr>
        <w:t>(</w:t>
      </w:r>
      <w:r w:rsidR="00606772" w:rsidRPr="000B5D35">
        <w:rPr>
          <w:rFonts w:asciiTheme="majorHAnsi" w:hAnsiTheme="majorHAnsi"/>
          <w:i/>
        </w:rPr>
        <w:t>financial product innovation</w:t>
      </w:r>
      <w:r w:rsidR="00980CC7">
        <w:rPr>
          <w:rFonts w:asciiTheme="majorHAnsi" w:hAnsiTheme="majorHAnsi"/>
          <w:i/>
        </w:rPr>
        <w:t>)</w:t>
      </w:r>
      <w:r w:rsidR="00606772" w:rsidRPr="000B5D35">
        <w:rPr>
          <w:rFonts w:asciiTheme="majorHAnsi" w:hAnsiTheme="majorHAnsi"/>
        </w:rPr>
        <w:t>, and certainly not in the form of products that financed innovation</w:t>
      </w:r>
      <w:r w:rsidR="00387034" w:rsidRPr="000B5D35">
        <w:rPr>
          <w:rFonts w:asciiTheme="majorHAnsi" w:hAnsiTheme="majorHAnsi"/>
        </w:rPr>
        <w:t xml:space="preserve"> generated by SMEs</w:t>
      </w:r>
      <w:r w:rsidR="00606772" w:rsidRPr="000B5D35">
        <w:rPr>
          <w:rStyle w:val="FootnoteReference"/>
          <w:rFonts w:asciiTheme="majorHAnsi" w:hAnsiTheme="majorHAnsi"/>
        </w:rPr>
        <w:footnoteReference w:id="5"/>
      </w:r>
      <w:r w:rsidR="00606772" w:rsidRPr="000B5D35">
        <w:rPr>
          <w:rFonts w:asciiTheme="majorHAnsi" w:hAnsiTheme="majorHAnsi"/>
        </w:rPr>
        <w:t>.</w:t>
      </w:r>
      <w:r w:rsidR="00971285" w:rsidRPr="000B5D35">
        <w:rPr>
          <w:rFonts w:asciiTheme="majorHAnsi" w:hAnsiTheme="majorHAnsi"/>
        </w:rPr>
        <w:t xml:space="preserve"> </w:t>
      </w:r>
      <w:r w:rsidR="009A2981" w:rsidRPr="000B5D35">
        <w:rPr>
          <w:rFonts w:asciiTheme="majorHAnsi" w:hAnsiTheme="majorHAnsi"/>
        </w:rPr>
        <w:t>This has continue</w:t>
      </w:r>
      <w:r w:rsidR="00166BED" w:rsidRPr="000B5D35">
        <w:rPr>
          <w:rFonts w:asciiTheme="majorHAnsi" w:hAnsiTheme="majorHAnsi"/>
        </w:rPr>
        <w:t>d</w:t>
      </w:r>
      <w:r w:rsidR="009A2981" w:rsidRPr="000B5D35">
        <w:rPr>
          <w:rFonts w:asciiTheme="majorHAnsi" w:hAnsiTheme="majorHAnsi"/>
        </w:rPr>
        <w:t xml:space="preserve"> to leave a credit gap for </w:t>
      </w:r>
      <w:r w:rsidR="009A2981" w:rsidRPr="000B5D35">
        <w:rPr>
          <w:rFonts w:asciiTheme="majorHAnsi" w:hAnsiTheme="majorHAnsi"/>
          <w:i/>
        </w:rPr>
        <w:t>Innovative SMEs</w:t>
      </w:r>
      <w:r w:rsidR="006C253B" w:rsidRPr="000B5D35">
        <w:rPr>
          <w:rStyle w:val="FootnoteReference"/>
          <w:rFonts w:asciiTheme="majorHAnsi" w:hAnsiTheme="majorHAnsi"/>
        </w:rPr>
        <w:footnoteReference w:id="6"/>
      </w:r>
      <w:r w:rsidR="009A2981" w:rsidRPr="000B5D35">
        <w:rPr>
          <w:rFonts w:asciiTheme="majorHAnsi" w:hAnsiTheme="majorHAnsi"/>
        </w:rPr>
        <w:t>.</w:t>
      </w:r>
      <w:r w:rsidR="00166BED" w:rsidRPr="000B5D35">
        <w:rPr>
          <w:rFonts w:asciiTheme="majorHAnsi" w:hAnsiTheme="majorHAnsi"/>
        </w:rPr>
        <w:t xml:space="preserve"> </w:t>
      </w:r>
      <w:r w:rsidR="00387034" w:rsidRPr="000B5D35">
        <w:rPr>
          <w:rFonts w:asciiTheme="majorHAnsi" w:hAnsiTheme="majorHAnsi"/>
        </w:rPr>
        <w:t>T</w:t>
      </w:r>
      <w:r w:rsidR="00166BED" w:rsidRPr="000B5D35">
        <w:rPr>
          <w:rFonts w:asciiTheme="majorHAnsi" w:hAnsiTheme="majorHAnsi"/>
        </w:rPr>
        <w:t xml:space="preserve">his specific segment of the </w:t>
      </w:r>
      <w:r w:rsidR="00166BED" w:rsidRPr="000B5D35">
        <w:rPr>
          <w:rFonts w:asciiTheme="majorHAnsi" w:hAnsiTheme="majorHAnsi"/>
          <w:i/>
        </w:rPr>
        <w:t>SME Spectrum</w:t>
      </w:r>
      <w:r w:rsidR="00166BED" w:rsidRPr="000B5D35">
        <w:rPr>
          <w:rFonts w:asciiTheme="majorHAnsi" w:hAnsiTheme="majorHAnsi"/>
        </w:rPr>
        <w:t xml:space="preserve"> </w:t>
      </w:r>
      <w:r w:rsidR="00387034" w:rsidRPr="000B5D35">
        <w:rPr>
          <w:rFonts w:asciiTheme="majorHAnsi" w:hAnsiTheme="majorHAnsi"/>
        </w:rPr>
        <w:t>is populated by SMEs that are</w:t>
      </w:r>
      <w:r w:rsidR="00387034">
        <w:rPr>
          <w:rFonts w:asciiTheme="majorHAnsi" w:hAnsiTheme="majorHAnsi"/>
        </w:rPr>
        <w:t xml:space="preserve"> ideas rich but current capital poor</w:t>
      </w:r>
      <w:r w:rsidR="0008541C">
        <w:rPr>
          <w:rFonts w:asciiTheme="majorHAnsi" w:hAnsiTheme="majorHAnsi"/>
        </w:rPr>
        <w:t>, and as such are</w:t>
      </w:r>
      <w:r w:rsidR="00166BED">
        <w:rPr>
          <w:rFonts w:asciiTheme="majorHAnsi" w:hAnsiTheme="majorHAnsi"/>
        </w:rPr>
        <w:t xml:space="preserve"> particularly </w:t>
      </w:r>
      <w:r w:rsidR="00971285">
        <w:rPr>
          <w:rFonts w:asciiTheme="majorHAnsi" w:hAnsiTheme="majorHAnsi"/>
        </w:rPr>
        <w:t>incentivized</w:t>
      </w:r>
      <w:r w:rsidR="00166BED">
        <w:rPr>
          <w:rFonts w:asciiTheme="majorHAnsi" w:hAnsiTheme="majorHAnsi"/>
        </w:rPr>
        <w:t xml:space="preserve"> to introduce disruptive innovation that catapults them to the top of the economic value chain, and as a group, can provide new economic growth and paths</w:t>
      </w:r>
      <w:r w:rsidR="0008541C">
        <w:rPr>
          <w:rFonts w:asciiTheme="majorHAnsi" w:hAnsiTheme="majorHAnsi"/>
        </w:rPr>
        <w:t>, and investment opportunities</w:t>
      </w:r>
      <w:r w:rsidR="00166BED">
        <w:rPr>
          <w:rStyle w:val="FootnoteReference"/>
          <w:rFonts w:asciiTheme="majorHAnsi" w:hAnsiTheme="majorHAnsi"/>
        </w:rPr>
        <w:footnoteReference w:id="7"/>
      </w:r>
      <w:r w:rsidR="00166BED">
        <w:rPr>
          <w:rFonts w:asciiTheme="majorHAnsi" w:hAnsiTheme="majorHAnsi"/>
        </w:rPr>
        <w:t>.</w:t>
      </w:r>
    </w:p>
    <w:p w:rsidR="008C1C29" w:rsidRDefault="00EF0D67" w:rsidP="008937A8">
      <w:pPr>
        <w:spacing w:after="120"/>
        <w:rPr>
          <w:rFonts w:asciiTheme="majorHAnsi" w:hAnsiTheme="majorHAnsi"/>
        </w:rPr>
      </w:pPr>
      <w:r w:rsidRPr="003A6AFA">
        <w:rPr>
          <w:rFonts w:asciiTheme="majorHAnsi" w:hAnsiTheme="majorHAnsi"/>
          <w:i/>
        </w:rPr>
        <w:t xml:space="preserve">Mutual </w:t>
      </w:r>
      <w:r w:rsidRPr="000B5D35">
        <w:rPr>
          <w:rFonts w:asciiTheme="majorHAnsi" w:hAnsiTheme="majorHAnsi"/>
          <w:i/>
        </w:rPr>
        <w:t>Guarantee Societies</w:t>
      </w:r>
      <w:r w:rsidR="00EF273D" w:rsidRPr="000B5D35">
        <w:rPr>
          <w:rFonts w:asciiTheme="majorHAnsi" w:hAnsiTheme="majorHAnsi"/>
          <w:i/>
        </w:rPr>
        <w:t xml:space="preserve"> (MGS)</w:t>
      </w:r>
      <w:r w:rsidR="00525B6A">
        <w:rPr>
          <w:rFonts w:asciiTheme="majorHAnsi" w:hAnsiTheme="majorHAnsi"/>
        </w:rPr>
        <w:t>,</w:t>
      </w:r>
      <w:r w:rsidR="003A6AFA" w:rsidRPr="000B5D35">
        <w:rPr>
          <w:rFonts w:asciiTheme="majorHAnsi" w:hAnsiTheme="majorHAnsi"/>
        </w:rPr>
        <w:t xml:space="preserve"> have a long history of providing credit to SMEs in their sector</w:t>
      </w:r>
      <w:r w:rsidR="000D599E">
        <w:rPr>
          <w:rStyle w:val="FootnoteReference"/>
          <w:rFonts w:asciiTheme="majorHAnsi" w:hAnsiTheme="majorHAnsi"/>
        </w:rPr>
        <w:footnoteReference w:id="8"/>
      </w:r>
      <w:r w:rsidR="00EF273D" w:rsidRPr="000B5D35">
        <w:rPr>
          <w:rFonts w:asciiTheme="majorHAnsi" w:hAnsiTheme="majorHAnsi"/>
        </w:rPr>
        <w:t xml:space="preserve">. As such, </w:t>
      </w:r>
      <w:r w:rsidR="00971285" w:rsidRPr="000B5D35">
        <w:rPr>
          <w:rFonts w:asciiTheme="majorHAnsi" w:hAnsiTheme="majorHAnsi"/>
          <w:b/>
        </w:rPr>
        <w:t>MGS</w:t>
      </w:r>
      <w:r w:rsidR="00EF273D" w:rsidRPr="000B5D35">
        <w:rPr>
          <w:rFonts w:asciiTheme="majorHAnsi" w:hAnsiTheme="majorHAnsi"/>
          <w:b/>
        </w:rPr>
        <w:t xml:space="preserve"> have industry-specific knowledge that makes them</w:t>
      </w:r>
      <w:r w:rsidR="003A6AFA" w:rsidRPr="000B5D35">
        <w:rPr>
          <w:rFonts w:asciiTheme="majorHAnsi" w:hAnsiTheme="majorHAnsi"/>
          <w:b/>
        </w:rPr>
        <w:t xml:space="preserve"> particularly </w:t>
      </w:r>
      <w:r w:rsidR="00525B6A">
        <w:rPr>
          <w:rFonts w:asciiTheme="majorHAnsi" w:hAnsiTheme="majorHAnsi"/>
          <w:b/>
        </w:rPr>
        <w:t>adept</w:t>
      </w:r>
      <w:r w:rsidR="003A6AFA" w:rsidRPr="000B5D35">
        <w:rPr>
          <w:rFonts w:asciiTheme="majorHAnsi" w:hAnsiTheme="majorHAnsi"/>
          <w:b/>
        </w:rPr>
        <w:t xml:space="preserve"> to assess the market</w:t>
      </w:r>
      <w:r w:rsidR="003A6AFA" w:rsidRPr="00971285">
        <w:rPr>
          <w:rFonts w:asciiTheme="majorHAnsi" w:hAnsiTheme="majorHAnsi"/>
          <w:b/>
        </w:rPr>
        <w:t xml:space="preserve"> potential of an innovation directed </w:t>
      </w:r>
      <w:r w:rsidR="00EF273D" w:rsidRPr="00971285">
        <w:rPr>
          <w:rFonts w:asciiTheme="majorHAnsi" w:hAnsiTheme="majorHAnsi"/>
          <w:b/>
        </w:rPr>
        <w:t>at</w:t>
      </w:r>
      <w:r w:rsidR="003A6AFA" w:rsidRPr="00971285">
        <w:rPr>
          <w:rFonts w:asciiTheme="majorHAnsi" w:hAnsiTheme="majorHAnsi"/>
          <w:b/>
        </w:rPr>
        <w:t xml:space="preserve"> their sector. In addition, with some </w:t>
      </w:r>
      <w:r w:rsidR="003A6AFA" w:rsidRPr="00971285">
        <w:rPr>
          <w:rFonts w:asciiTheme="majorHAnsi" w:hAnsiTheme="majorHAnsi"/>
          <w:b/>
        </w:rPr>
        <w:lastRenderedPageBreak/>
        <w:t xml:space="preserve">additional capacities, </w:t>
      </w:r>
      <w:r w:rsidR="00EF273D" w:rsidRPr="00971285">
        <w:rPr>
          <w:rFonts w:asciiTheme="majorHAnsi" w:hAnsiTheme="majorHAnsi"/>
          <w:b/>
        </w:rPr>
        <w:t xml:space="preserve">MGS may be </w:t>
      </w:r>
      <w:r w:rsidR="003A6AFA" w:rsidRPr="00971285">
        <w:rPr>
          <w:rFonts w:asciiTheme="majorHAnsi" w:hAnsiTheme="majorHAnsi"/>
          <w:b/>
        </w:rPr>
        <w:t xml:space="preserve">particularly </w:t>
      </w:r>
      <w:r w:rsidR="00525B6A">
        <w:rPr>
          <w:rFonts w:asciiTheme="majorHAnsi" w:hAnsiTheme="majorHAnsi"/>
          <w:b/>
        </w:rPr>
        <w:t>adept</w:t>
      </w:r>
      <w:r w:rsidR="003A6AFA" w:rsidRPr="00971285">
        <w:rPr>
          <w:rFonts w:asciiTheme="majorHAnsi" w:hAnsiTheme="majorHAnsi"/>
          <w:b/>
        </w:rPr>
        <w:t xml:space="preserve"> to make the decision to </w:t>
      </w:r>
      <w:r w:rsidR="00EF273D" w:rsidRPr="00971285">
        <w:rPr>
          <w:rFonts w:asciiTheme="majorHAnsi" w:hAnsiTheme="majorHAnsi"/>
          <w:b/>
        </w:rPr>
        <w:t>finance</w:t>
      </w:r>
      <w:r w:rsidR="003A6AFA" w:rsidRPr="00971285">
        <w:rPr>
          <w:rFonts w:asciiTheme="majorHAnsi" w:hAnsiTheme="majorHAnsi"/>
          <w:b/>
        </w:rPr>
        <w:t xml:space="preserve"> </w:t>
      </w:r>
      <w:r w:rsidR="00525B6A">
        <w:rPr>
          <w:rFonts w:asciiTheme="majorHAnsi" w:hAnsiTheme="majorHAnsi"/>
          <w:b/>
        </w:rPr>
        <w:t xml:space="preserve">the </w:t>
      </w:r>
      <w:r w:rsidR="00971285" w:rsidRPr="00971285">
        <w:rPr>
          <w:rFonts w:asciiTheme="majorHAnsi" w:hAnsiTheme="majorHAnsi"/>
          <w:b/>
        </w:rPr>
        <w:t xml:space="preserve">innovation directed at their sector, </w:t>
      </w:r>
      <w:r w:rsidR="003A6AFA" w:rsidRPr="00971285">
        <w:rPr>
          <w:rFonts w:asciiTheme="majorHAnsi" w:hAnsiTheme="majorHAnsi"/>
          <w:b/>
        </w:rPr>
        <w:t>and the firm providing it</w:t>
      </w:r>
      <w:r w:rsidR="003A6AFA">
        <w:rPr>
          <w:rFonts w:asciiTheme="majorHAnsi" w:hAnsiTheme="majorHAnsi"/>
        </w:rPr>
        <w:t>.</w:t>
      </w:r>
    </w:p>
    <w:p w:rsidR="001148DB" w:rsidRDefault="00EF273D" w:rsidP="008937A8">
      <w:pPr>
        <w:spacing w:after="120"/>
        <w:rPr>
          <w:rFonts w:asciiTheme="majorHAnsi" w:hAnsiTheme="majorHAnsi"/>
        </w:rPr>
      </w:pPr>
      <w:r w:rsidRPr="00971285">
        <w:rPr>
          <w:rFonts w:asciiTheme="majorHAnsi" w:hAnsiTheme="majorHAnsi"/>
          <w:b/>
        </w:rPr>
        <w:t xml:space="preserve">These particular </w:t>
      </w:r>
      <w:r w:rsidR="008C1C29" w:rsidRPr="00971285">
        <w:rPr>
          <w:rFonts w:asciiTheme="majorHAnsi" w:hAnsiTheme="majorHAnsi"/>
          <w:b/>
        </w:rPr>
        <w:t xml:space="preserve">MGS </w:t>
      </w:r>
      <w:r w:rsidR="004D2AA7">
        <w:rPr>
          <w:rFonts w:asciiTheme="majorHAnsi" w:hAnsiTheme="majorHAnsi"/>
          <w:b/>
        </w:rPr>
        <w:t>capabilities</w:t>
      </w:r>
      <w:r w:rsidR="008C1C29" w:rsidRPr="00971285">
        <w:rPr>
          <w:rFonts w:asciiTheme="majorHAnsi" w:hAnsiTheme="majorHAnsi"/>
          <w:b/>
        </w:rPr>
        <w:t xml:space="preserve"> are not easily replaced or duplicated</w:t>
      </w:r>
      <w:r w:rsidR="004D2AA7">
        <w:rPr>
          <w:rFonts w:asciiTheme="majorHAnsi" w:hAnsiTheme="majorHAnsi"/>
        </w:rPr>
        <w:t xml:space="preserve">, as they are not </w:t>
      </w:r>
      <w:r w:rsidR="008C1C29">
        <w:rPr>
          <w:rFonts w:asciiTheme="majorHAnsi" w:hAnsiTheme="majorHAnsi"/>
        </w:rPr>
        <w:t xml:space="preserve">based on technological factors, but </w:t>
      </w:r>
      <w:r w:rsidR="008C1C29" w:rsidRPr="000B5D35">
        <w:rPr>
          <w:rFonts w:asciiTheme="majorHAnsi" w:hAnsiTheme="majorHAnsi"/>
        </w:rPr>
        <w:t xml:space="preserve">are based on the unique combination of attributes </w:t>
      </w:r>
      <w:r w:rsidR="00525B6A">
        <w:rPr>
          <w:rFonts w:asciiTheme="majorHAnsi" w:hAnsiTheme="majorHAnsi"/>
        </w:rPr>
        <w:t xml:space="preserve">of </w:t>
      </w:r>
      <w:r w:rsidR="008C1C29" w:rsidRPr="000B5D35">
        <w:rPr>
          <w:rFonts w:asciiTheme="majorHAnsi" w:hAnsiTheme="majorHAnsi"/>
        </w:rPr>
        <w:t xml:space="preserve">(1) its long history and specific knowledge in their respective sector, and (2) in their long history and specific knowledge in making credit decisions, especially in making credit decision in the SME </w:t>
      </w:r>
      <w:r w:rsidR="004D2AA7" w:rsidRPr="000B5D35">
        <w:rPr>
          <w:rFonts w:asciiTheme="majorHAnsi" w:hAnsiTheme="majorHAnsi"/>
        </w:rPr>
        <w:t>sector</w:t>
      </w:r>
      <w:r w:rsidR="008C1C29" w:rsidRPr="000B5D35">
        <w:rPr>
          <w:rFonts w:asciiTheme="majorHAnsi" w:hAnsiTheme="majorHAnsi"/>
        </w:rPr>
        <w:t>. Replacing any one of these two</w:t>
      </w:r>
      <w:r w:rsidR="008C1C29">
        <w:rPr>
          <w:rFonts w:asciiTheme="majorHAnsi" w:hAnsiTheme="majorHAnsi"/>
        </w:rPr>
        <w:t xml:space="preserve"> attributes is </w:t>
      </w:r>
      <w:r w:rsidR="00525B6A">
        <w:rPr>
          <w:rFonts w:asciiTheme="majorHAnsi" w:hAnsiTheme="majorHAnsi"/>
        </w:rPr>
        <w:t xml:space="preserve">certainly </w:t>
      </w:r>
      <w:r w:rsidR="008C1C29">
        <w:rPr>
          <w:rFonts w:asciiTheme="majorHAnsi" w:hAnsiTheme="majorHAnsi"/>
        </w:rPr>
        <w:t>possible</w:t>
      </w:r>
      <w:r w:rsidR="00525B6A">
        <w:rPr>
          <w:rFonts w:asciiTheme="majorHAnsi" w:hAnsiTheme="majorHAnsi"/>
        </w:rPr>
        <w:t xml:space="preserve">, but increasingly likely. </w:t>
      </w:r>
      <w:r w:rsidR="00BC14B9">
        <w:rPr>
          <w:rFonts w:asciiTheme="majorHAnsi" w:hAnsiTheme="majorHAnsi"/>
        </w:rPr>
        <w:t>More specifically, t</w:t>
      </w:r>
      <w:r w:rsidR="004D2AA7">
        <w:rPr>
          <w:rFonts w:asciiTheme="majorHAnsi" w:hAnsiTheme="majorHAnsi"/>
        </w:rPr>
        <w:t xml:space="preserve">he </w:t>
      </w:r>
      <w:r w:rsidR="00525B6A">
        <w:rPr>
          <w:rFonts w:asciiTheme="majorHAnsi" w:hAnsiTheme="majorHAnsi"/>
        </w:rPr>
        <w:t>growing</w:t>
      </w:r>
      <w:r w:rsidR="008C1C29">
        <w:rPr>
          <w:rFonts w:asciiTheme="majorHAnsi" w:hAnsiTheme="majorHAnsi"/>
        </w:rPr>
        <w:t xml:space="preserve"> corporate concentration in the financial </w:t>
      </w:r>
      <w:proofErr w:type="gramStart"/>
      <w:r w:rsidR="008C1C29">
        <w:rPr>
          <w:rFonts w:asciiTheme="majorHAnsi" w:hAnsiTheme="majorHAnsi"/>
        </w:rPr>
        <w:t>sector</w:t>
      </w:r>
      <w:r w:rsidR="00C30D7C">
        <w:rPr>
          <w:rFonts w:asciiTheme="majorHAnsi" w:hAnsiTheme="majorHAnsi"/>
        </w:rPr>
        <w:t>,</w:t>
      </w:r>
      <w:proofErr w:type="gramEnd"/>
      <w:r w:rsidR="00525B6A">
        <w:rPr>
          <w:rFonts w:asciiTheme="majorHAnsi" w:hAnsiTheme="majorHAnsi"/>
        </w:rPr>
        <w:t xml:space="preserve"> and the continuous shift toward automated credit decisions based on technology </w:t>
      </w:r>
      <w:r w:rsidR="008C1C29">
        <w:rPr>
          <w:rFonts w:asciiTheme="majorHAnsi" w:hAnsiTheme="majorHAnsi"/>
        </w:rPr>
        <w:t xml:space="preserve">is making it increasingly </w:t>
      </w:r>
      <w:r w:rsidR="004D2AA7">
        <w:rPr>
          <w:rFonts w:asciiTheme="majorHAnsi" w:hAnsiTheme="majorHAnsi"/>
        </w:rPr>
        <w:t>unlikely</w:t>
      </w:r>
      <w:r w:rsidR="00BC14B9">
        <w:rPr>
          <w:rFonts w:asciiTheme="majorHAnsi" w:hAnsiTheme="majorHAnsi"/>
        </w:rPr>
        <w:t xml:space="preserve"> that</w:t>
      </w:r>
      <w:r w:rsidR="00525B6A">
        <w:rPr>
          <w:rFonts w:asciiTheme="majorHAnsi" w:hAnsiTheme="majorHAnsi"/>
        </w:rPr>
        <w:t xml:space="preserve"> anyone of these two central MGS advantages </w:t>
      </w:r>
      <w:r w:rsidR="00BC14B9">
        <w:rPr>
          <w:rFonts w:asciiTheme="majorHAnsi" w:hAnsiTheme="majorHAnsi"/>
        </w:rPr>
        <w:t>will be replaced or duplicated</w:t>
      </w:r>
      <w:r w:rsidR="008C1C29">
        <w:rPr>
          <w:rFonts w:asciiTheme="majorHAnsi" w:hAnsiTheme="majorHAnsi"/>
        </w:rPr>
        <w:t>.</w:t>
      </w:r>
    </w:p>
    <w:p w:rsidR="00A53538" w:rsidRDefault="00D0418E" w:rsidP="008937A8">
      <w:pPr>
        <w:spacing w:after="120"/>
        <w:rPr>
          <w:rFonts w:asciiTheme="majorHAnsi" w:hAnsiTheme="majorHAnsi"/>
        </w:rPr>
      </w:pPr>
      <w:r>
        <w:rPr>
          <w:rFonts w:asciiTheme="majorHAnsi" w:hAnsiTheme="majorHAnsi"/>
        </w:rPr>
        <w:t xml:space="preserve">It must be recognized that this particular MGS </w:t>
      </w:r>
      <w:r w:rsidRPr="000B5D35">
        <w:rPr>
          <w:rFonts w:asciiTheme="majorHAnsi" w:hAnsiTheme="majorHAnsi"/>
        </w:rPr>
        <w:t xml:space="preserve">advantage is restricted to </w:t>
      </w:r>
      <w:r w:rsidR="00A92C35" w:rsidRPr="000B5D35">
        <w:rPr>
          <w:rFonts w:asciiTheme="majorHAnsi" w:hAnsiTheme="majorHAnsi"/>
        </w:rPr>
        <w:t xml:space="preserve">financing innovation </w:t>
      </w:r>
      <w:r w:rsidR="00B73AC4" w:rsidRPr="000B5D35">
        <w:rPr>
          <w:rFonts w:asciiTheme="majorHAnsi" w:hAnsiTheme="majorHAnsi"/>
        </w:rPr>
        <w:t xml:space="preserve">targeted </w:t>
      </w:r>
      <w:r w:rsidR="008253FA">
        <w:rPr>
          <w:rFonts w:asciiTheme="majorHAnsi" w:hAnsiTheme="majorHAnsi"/>
        </w:rPr>
        <w:t>at</w:t>
      </w:r>
      <w:r w:rsidR="00A92C35" w:rsidRPr="000B5D35">
        <w:rPr>
          <w:rFonts w:asciiTheme="majorHAnsi" w:hAnsiTheme="majorHAnsi"/>
        </w:rPr>
        <w:t xml:space="preserve"> the sectors where the MGS has a long and deep knowledge. </w:t>
      </w:r>
      <w:r w:rsidR="00513D50" w:rsidRPr="000B5D35">
        <w:rPr>
          <w:rFonts w:asciiTheme="majorHAnsi" w:hAnsiTheme="majorHAnsi"/>
        </w:rPr>
        <w:t>Furthermore, e</w:t>
      </w:r>
      <w:r w:rsidR="00A92C35" w:rsidRPr="000B5D35">
        <w:rPr>
          <w:rFonts w:asciiTheme="majorHAnsi" w:hAnsiTheme="majorHAnsi"/>
        </w:rPr>
        <w:t xml:space="preserve">ven with this restriction, the anticipated risk for such financing is expected to be significantly higher than the median risk in the typical MGS portfolio. </w:t>
      </w:r>
      <w:r w:rsidR="00B73AC4" w:rsidRPr="000B5D35">
        <w:rPr>
          <w:rFonts w:asciiTheme="majorHAnsi" w:hAnsiTheme="majorHAnsi"/>
        </w:rPr>
        <w:t>Thus, t</w:t>
      </w:r>
      <w:r w:rsidR="00A92C35" w:rsidRPr="000B5D35">
        <w:rPr>
          <w:rFonts w:asciiTheme="majorHAnsi" w:hAnsiTheme="majorHAnsi"/>
        </w:rPr>
        <w:t xml:space="preserve">his financing option may </w:t>
      </w:r>
      <w:r w:rsidR="00961E74" w:rsidRPr="000B5D35">
        <w:rPr>
          <w:rFonts w:asciiTheme="majorHAnsi" w:hAnsiTheme="majorHAnsi"/>
        </w:rPr>
        <w:t xml:space="preserve">be </w:t>
      </w:r>
      <w:r w:rsidR="00513D50" w:rsidRPr="000B5D35">
        <w:rPr>
          <w:rFonts w:asciiTheme="majorHAnsi" w:hAnsiTheme="majorHAnsi"/>
        </w:rPr>
        <w:t xml:space="preserve">too risky for any </w:t>
      </w:r>
      <w:r w:rsidR="008253FA">
        <w:rPr>
          <w:rFonts w:asciiTheme="majorHAnsi" w:hAnsiTheme="majorHAnsi"/>
        </w:rPr>
        <w:t>single</w:t>
      </w:r>
      <w:r w:rsidR="00513D50" w:rsidRPr="000B5D35">
        <w:rPr>
          <w:rFonts w:asciiTheme="majorHAnsi" w:hAnsiTheme="majorHAnsi"/>
        </w:rPr>
        <w:t xml:space="preserve"> MGS. However, this concept may </w:t>
      </w:r>
      <w:r w:rsidR="00A92C35" w:rsidRPr="000B5D35">
        <w:rPr>
          <w:rFonts w:asciiTheme="majorHAnsi" w:hAnsiTheme="majorHAnsi"/>
        </w:rPr>
        <w:t xml:space="preserve">become more feasible if </w:t>
      </w:r>
      <w:r w:rsidR="00513D50" w:rsidRPr="000B5D35">
        <w:rPr>
          <w:rFonts w:asciiTheme="majorHAnsi" w:hAnsiTheme="majorHAnsi"/>
        </w:rPr>
        <w:t xml:space="preserve">implemented at a higher aggregation, </w:t>
      </w:r>
      <w:r w:rsidR="008253FA">
        <w:rPr>
          <w:rFonts w:asciiTheme="majorHAnsi" w:hAnsiTheme="majorHAnsi"/>
        </w:rPr>
        <w:t xml:space="preserve">say </w:t>
      </w:r>
      <w:r w:rsidR="00513D50" w:rsidRPr="000B5D35">
        <w:rPr>
          <w:rFonts w:asciiTheme="majorHAnsi" w:hAnsiTheme="majorHAnsi"/>
        </w:rPr>
        <w:t xml:space="preserve">were a group of like-minded MGS might combine </w:t>
      </w:r>
      <w:r w:rsidR="00B73AC4" w:rsidRPr="000B5D35">
        <w:rPr>
          <w:rFonts w:asciiTheme="majorHAnsi" w:hAnsiTheme="majorHAnsi"/>
        </w:rPr>
        <w:t>knowledge, operational and risk-</w:t>
      </w:r>
      <w:r w:rsidR="00513D50" w:rsidRPr="000B5D35">
        <w:rPr>
          <w:rFonts w:asciiTheme="majorHAnsi" w:hAnsiTheme="majorHAnsi"/>
        </w:rPr>
        <w:t xml:space="preserve">distribution </w:t>
      </w:r>
      <w:r w:rsidR="008253FA">
        <w:rPr>
          <w:rFonts w:asciiTheme="majorHAnsi" w:hAnsiTheme="majorHAnsi"/>
        </w:rPr>
        <w:t xml:space="preserve">capacities to implement a </w:t>
      </w:r>
      <w:r w:rsidR="00513D50" w:rsidRPr="000B5D35">
        <w:rPr>
          <w:rFonts w:asciiTheme="majorHAnsi" w:hAnsiTheme="majorHAnsi"/>
        </w:rPr>
        <w:t>pilot project involving only a small percentage of the investment portfolio of each participating MGS. In addition, aggregation benefits could be further leveraged by including government entities that for a long time have been keenly interested in investing in innovative SMEs but have not been able to find a way to implement</w:t>
      </w:r>
      <w:r w:rsidR="00513D50">
        <w:rPr>
          <w:rFonts w:asciiTheme="majorHAnsi" w:hAnsiTheme="majorHAnsi"/>
        </w:rPr>
        <w:t xml:space="preserve"> an acceptable credit decision process. Such </w:t>
      </w:r>
      <w:r w:rsidR="008253FA">
        <w:rPr>
          <w:rFonts w:asciiTheme="majorHAnsi" w:hAnsiTheme="majorHAnsi"/>
        </w:rPr>
        <w:t>collaboration</w:t>
      </w:r>
      <w:r w:rsidR="00513D50">
        <w:rPr>
          <w:rFonts w:asciiTheme="majorHAnsi" w:hAnsiTheme="majorHAnsi"/>
        </w:rPr>
        <w:t xml:space="preserve"> would combine the sectorial-specific knowledge of individual MGS, the portfolio and operational capacities of the MGS group, and the financial scale of government entities.</w:t>
      </w:r>
    </w:p>
    <w:p w:rsidR="00503033" w:rsidRDefault="00503033">
      <w:pPr>
        <w:rPr>
          <w:rFonts w:asciiTheme="majorHAnsi" w:hAnsiTheme="majorHAnsi"/>
        </w:rPr>
      </w:pPr>
      <w:r>
        <w:rPr>
          <w:rFonts w:asciiTheme="majorHAnsi" w:hAnsiTheme="majorHAnsi"/>
        </w:rPr>
        <w:br w:type="page"/>
      </w:r>
    </w:p>
    <w:p w:rsidR="00503033" w:rsidRDefault="00D641E2" w:rsidP="00D93B37">
      <w:pPr>
        <w:pStyle w:val="Heading1"/>
        <w:numPr>
          <w:ilvl w:val="0"/>
          <w:numId w:val="1"/>
        </w:numPr>
      </w:pPr>
      <w:bookmarkStart w:id="3" w:name="_Toc430353388"/>
      <w:r>
        <w:lastRenderedPageBreak/>
        <w:t>Assessing the</w:t>
      </w:r>
      <w:r w:rsidR="00503033">
        <w:t xml:space="preserve"> landscape </w:t>
      </w:r>
      <w:r>
        <w:t>for financing innovative SMEs</w:t>
      </w:r>
      <w:bookmarkEnd w:id="3"/>
    </w:p>
    <w:p w:rsidR="009D173F" w:rsidRDefault="000B5D35" w:rsidP="008937A8">
      <w:pPr>
        <w:spacing w:after="120"/>
        <w:rPr>
          <w:rFonts w:asciiTheme="majorHAnsi" w:hAnsiTheme="majorHAnsi"/>
        </w:rPr>
      </w:pPr>
      <w:r>
        <w:rPr>
          <w:rFonts w:asciiTheme="majorHAnsi" w:hAnsiTheme="majorHAnsi"/>
        </w:rPr>
        <w:t xml:space="preserve">Any decision to implement </w:t>
      </w:r>
      <w:r w:rsidR="00830658">
        <w:rPr>
          <w:rFonts w:asciiTheme="majorHAnsi" w:hAnsiTheme="majorHAnsi"/>
        </w:rPr>
        <w:t>a concept for MGS financing Innovative SMEs</w:t>
      </w:r>
      <w:r w:rsidR="00D641E2">
        <w:rPr>
          <w:rFonts w:asciiTheme="majorHAnsi" w:hAnsiTheme="majorHAnsi"/>
        </w:rPr>
        <w:t>, even at a small pilot</w:t>
      </w:r>
      <w:r>
        <w:rPr>
          <w:rFonts w:asciiTheme="majorHAnsi" w:hAnsiTheme="majorHAnsi"/>
        </w:rPr>
        <w:t xml:space="preserve"> level, should be preceded with a market analysis to assess (1) </w:t>
      </w:r>
      <w:r w:rsidR="00D641E2">
        <w:rPr>
          <w:rFonts w:asciiTheme="majorHAnsi" w:hAnsiTheme="majorHAnsi"/>
        </w:rPr>
        <w:t xml:space="preserve">the </w:t>
      </w:r>
      <w:r>
        <w:rPr>
          <w:rFonts w:asciiTheme="majorHAnsi" w:hAnsiTheme="majorHAnsi"/>
        </w:rPr>
        <w:t xml:space="preserve">potential market demand, (2) </w:t>
      </w:r>
      <w:r w:rsidR="00D641E2">
        <w:rPr>
          <w:rFonts w:asciiTheme="majorHAnsi" w:hAnsiTheme="majorHAnsi"/>
        </w:rPr>
        <w:t xml:space="preserve">the </w:t>
      </w:r>
      <w:r>
        <w:rPr>
          <w:rFonts w:asciiTheme="majorHAnsi" w:hAnsiTheme="majorHAnsi"/>
        </w:rPr>
        <w:t>potential market supply</w:t>
      </w:r>
      <w:r w:rsidR="00D641E2">
        <w:rPr>
          <w:rFonts w:asciiTheme="majorHAnsi" w:hAnsiTheme="majorHAnsi"/>
        </w:rPr>
        <w:t>, and</w:t>
      </w:r>
      <w:r>
        <w:rPr>
          <w:rFonts w:asciiTheme="majorHAnsi" w:hAnsiTheme="majorHAnsi"/>
        </w:rPr>
        <w:t xml:space="preserve"> (3) </w:t>
      </w:r>
      <w:r w:rsidR="00D641E2">
        <w:rPr>
          <w:rFonts w:asciiTheme="majorHAnsi" w:hAnsiTheme="majorHAnsi"/>
        </w:rPr>
        <w:t xml:space="preserve">the </w:t>
      </w:r>
      <w:r>
        <w:rPr>
          <w:rFonts w:asciiTheme="majorHAnsi" w:hAnsiTheme="majorHAnsi"/>
        </w:rPr>
        <w:t xml:space="preserve">potential </w:t>
      </w:r>
      <w:r w:rsidR="004700A0">
        <w:rPr>
          <w:rFonts w:asciiTheme="majorHAnsi" w:hAnsiTheme="majorHAnsi"/>
        </w:rPr>
        <w:t>competitive advantage of MGS</w:t>
      </w:r>
      <w:r>
        <w:rPr>
          <w:rFonts w:asciiTheme="majorHAnsi" w:hAnsiTheme="majorHAnsi"/>
        </w:rPr>
        <w:t>.</w:t>
      </w:r>
    </w:p>
    <w:p w:rsidR="00295C26" w:rsidRDefault="00295C26" w:rsidP="00295C26">
      <w:pPr>
        <w:pStyle w:val="Heading2"/>
      </w:pPr>
      <w:bookmarkStart w:id="4" w:name="_Toc430353389"/>
      <w:r>
        <w:t>Assessing the potential credit demand from Innovative SMEs</w:t>
      </w:r>
      <w:bookmarkEnd w:id="4"/>
    </w:p>
    <w:p w:rsidR="00830658" w:rsidRDefault="009D173F" w:rsidP="008937A8">
      <w:pPr>
        <w:spacing w:after="120"/>
        <w:rPr>
          <w:rFonts w:asciiTheme="majorHAnsi" w:hAnsiTheme="majorHAnsi"/>
        </w:rPr>
      </w:pPr>
      <w:r>
        <w:rPr>
          <w:rFonts w:asciiTheme="majorHAnsi" w:hAnsiTheme="majorHAnsi"/>
        </w:rPr>
        <w:t xml:space="preserve">It may very well be that there are not enough innovative SMEs in a specific geographic area or </w:t>
      </w:r>
      <w:r w:rsidR="004700A0">
        <w:rPr>
          <w:rFonts w:asciiTheme="majorHAnsi" w:hAnsiTheme="majorHAnsi"/>
        </w:rPr>
        <w:t xml:space="preserve">in a specific </w:t>
      </w:r>
      <w:r>
        <w:rPr>
          <w:rFonts w:asciiTheme="majorHAnsi" w:hAnsiTheme="majorHAnsi"/>
        </w:rPr>
        <w:t>sector</w:t>
      </w:r>
      <w:r w:rsidR="004700A0">
        <w:rPr>
          <w:rFonts w:asciiTheme="majorHAnsi" w:hAnsiTheme="majorHAnsi"/>
        </w:rPr>
        <w:t xml:space="preserve"> to justify the costs and risk</w:t>
      </w:r>
      <w:r w:rsidR="00830658">
        <w:rPr>
          <w:rFonts w:asciiTheme="majorHAnsi" w:hAnsiTheme="majorHAnsi"/>
        </w:rPr>
        <w:t>s of developing this</w:t>
      </w:r>
      <w:r w:rsidR="004700A0">
        <w:rPr>
          <w:rFonts w:asciiTheme="majorHAnsi" w:hAnsiTheme="majorHAnsi"/>
        </w:rPr>
        <w:t xml:space="preserve"> </w:t>
      </w:r>
      <w:r w:rsidR="00830658">
        <w:rPr>
          <w:rFonts w:asciiTheme="majorHAnsi" w:hAnsiTheme="majorHAnsi"/>
        </w:rPr>
        <w:t xml:space="preserve">MGS </w:t>
      </w:r>
      <w:r w:rsidR="004700A0">
        <w:rPr>
          <w:rFonts w:asciiTheme="majorHAnsi" w:hAnsiTheme="majorHAnsi"/>
        </w:rPr>
        <w:t>investment capacity</w:t>
      </w:r>
      <w:r>
        <w:rPr>
          <w:rFonts w:asciiTheme="majorHAnsi" w:hAnsiTheme="majorHAnsi"/>
        </w:rPr>
        <w:t xml:space="preserve">. </w:t>
      </w:r>
      <w:r w:rsidR="000C41F7">
        <w:rPr>
          <w:rFonts w:asciiTheme="majorHAnsi" w:hAnsiTheme="majorHAnsi"/>
        </w:rPr>
        <w:t>Luckily m</w:t>
      </w:r>
      <w:r>
        <w:rPr>
          <w:rFonts w:asciiTheme="majorHAnsi" w:hAnsiTheme="majorHAnsi"/>
        </w:rPr>
        <w:t>ost</w:t>
      </w:r>
      <w:r w:rsidR="007A14B7">
        <w:rPr>
          <w:rFonts w:asciiTheme="majorHAnsi" w:hAnsiTheme="majorHAnsi"/>
        </w:rPr>
        <w:t>, or at least some,</w:t>
      </w:r>
      <w:r>
        <w:rPr>
          <w:rFonts w:asciiTheme="majorHAnsi" w:hAnsiTheme="majorHAnsi"/>
        </w:rPr>
        <w:t xml:space="preserve"> developed economies have sufficient data </w:t>
      </w:r>
      <w:r w:rsidR="000C41F7">
        <w:rPr>
          <w:rFonts w:asciiTheme="majorHAnsi" w:hAnsiTheme="majorHAnsi"/>
        </w:rPr>
        <w:t xml:space="preserve">to obtain some estimates of this </w:t>
      </w:r>
      <w:r w:rsidR="004700A0">
        <w:rPr>
          <w:rFonts w:asciiTheme="majorHAnsi" w:hAnsiTheme="majorHAnsi"/>
        </w:rPr>
        <w:t xml:space="preserve">potential </w:t>
      </w:r>
      <w:r w:rsidR="000C41F7">
        <w:rPr>
          <w:rFonts w:asciiTheme="majorHAnsi" w:hAnsiTheme="majorHAnsi"/>
        </w:rPr>
        <w:t>demand</w:t>
      </w:r>
      <w:r w:rsidR="007A14B7">
        <w:rPr>
          <w:rStyle w:val="FootnoteReference"/>
          <w:rFonts w:asciiTheme="majorHAnsi" w:hAnsiTheme="majorHAnsi"/>
        </w:rPr>
        <w:footnoteReference w:id="9"/>
      </w:r>
      <w:r w:rsidR="000C41F7">
        <w:rPr>
          <w:rFonts w:asciiTheme="majorHAnsi" w:hAnsiTheme="majorHAnsi"/>
        </w:rPr>
        <w:t xml:space="preserve">. Most developed economies have data </w:t>
      </w:r>
      <w:r>
        <w:rPr>
          <w:rFonts w:asciiTheme="majorHAnsi" w:hAnsiTheme="majorHAnsi"/>
        </w:rPr>
        <w:t xml:space="preserve">on the number of SMEs in a geographic area and working in specific sectors. </w:t>
      </w:r>
      <w:r w:rsidR="004700A0">
        <w:rPr>
          <w:rFonts w:asciiTheme="majorHAnsi" w:hAnsiTheme="majorHAnsi"/>
        </w:rPr>
        <w:t>In addition, t</w:t>
      </w:r>
      <w:r>
        <w:rPr>
          <w:rFonts w:asciiTheme="majorHAnsi" w:hAnsiTheme="majorHAnsi"/>
        </w:rPr>
        <w:t xml:space="preserve">he data on </w:t>
      </w:r>
      <w:r w:rsidR="00156DE9" w:rsidRPr="00D10254">
        <w:rPr>
          <w:rFonts w:asciiTheme="majorHAnsi" w:hAnsiTheme="majorHAnsi"/>
          <w:b/>
        </w:rPr>
        <w:t>existing</w:t>
      </w:r>
      <w:r w:rsidR="00156DE9">
        <w:rPr>
          <w:rFonts w:asciiTheme="majorHAnsi" w:hAnsiTheme="majorHAnsi"/>
        </w:rPr>
        <w:t xml:space="preserve"> </w:t>
      </w:r>
      <w:r>
        <w:rPr>
          <w:rFonts w:asciiTheme="majorHAnsi" w:hAnsiTheme="majorHAnsi"/>
        </w:rPr>
        <w:t xml:space="preserve">innovative SMEs providing innovative products and services </w:t>
      </w:r>
      <w:r w:rsidR="00156DE9">
        <w:rPr>
          <w:rFonts w:asciiTheme="majorHAnsi" w:hAnsiTheme="majorHAnsi"/>
        </w:rPr>
        <w:t>to</w:t>
      </w:r>
      <w:r>
        <w:rPr>
          <w:rFonts w:asciiTheme="majorHAnsi" w:hAnsiTheme="majorHAnsi"/>
        </w:rPr>
        <w:t xml:space="preserve"> a specific sector </w:t>
      </w:r>
      <w:r w:rsidR="000C41F7">
        <w:rPr>
          <w:rFonts w:asciiTheme="majorHAnsi" w:hAnsiTheme="majorHAnsi"/>
        </w:rPr>
        <w:t xml:space="preserve">should </w:t>
      </w:r>
      <w:r w:rsidR="00830658">
        <w:rPr>
          <w:rFonts w:asciiTheme="majorHAnsi" w:hAnsiTheme="majorHAnsi"/>
        </w:rPr>
        <w:t xml:space="preserve">also </w:t>
      </w:r>
      <w:r w:rsidR="000C41F7">
        <w:rPr>
          <w:rFonts w:asciiTheme="majorHAnsi" w:hAnsiTheme="majorHAnsi"/>
        </w:rPr>
        <w:t>be attainable</w:t>
      </w:r>
      <w:r w:rsidR="00830658">
        <w:rPr>
          <w:rFonts w:asciiTheme="majorHAnsi" w:hAnsiTheme="majorHAnsi"/>
        </w:rPr>
        <w:t xml:space="preserve"> in most developed economies</w:t>
      </w:r>
      <w:r w:rsidR="003E076F">
        <w:rPr>
          <w:rFonts w:asciiTheme="majorHAnsi" w:hAnsiTheme="majorHAnsi"/>
        </w:rPr>
        <w:t xml:space="preserve">. A </w:t>
      </w:r>
      <w:r w:rsidR="00830658">
        <w:rPr>
          <w:rFonts w:asciiTheme="majorHAnsi" w:hAnsiTheme="majorHAnsi"/>
        </w:rPr>
        <w:t>preliminary estimate</w:t>
      </w:r>
      <w:r w:rsidR="003E076F">
        <w:rPr>
          <w:rFonts w:asciiTheme="majorHAnsi" w:hAnsiTheme="majorHAnsi"/>
        </w:rPr>
        <w:t xml:space="preserve"> </w:t>
      </w:r>
      <w:r w:rsidR="00830658">
        <w:rPr>
          <w:rFonts w:asciiTheme="majorHAnsi" w:hAnsiTheme="majorHAnsi"/>
        </w:rPr>
        <w:t>of the number of Innovative</w:t>
      </w:r>
      <w:r w:rsidR="004700A0">
        <w:rPr>
          <w:rFonts w:asciiTheme="majorHAnsi" w:hAnsiTheme="majorHAnsi"/>
        </w:rPr>
        <w:t xml:space="preserve"> </w:t>
      </w:r>
      <w:r w:rsidR="003E076F">
        <w:rPr>
          <w:rFonts w:asciiTheme="majorHAnsi" w:hAnsiTheme="majorHAnsi"/>
        </w:rPr>
        <w:t>SME</w:t>
      </w:r>
      <w:r w:rsidR="00830658">
        <w:rPr>
          <w:rFonts w:asciiTheme="majorHAnsi" w:hAnsiTheme="majorHAnsi"/>
        </w:rPr>
        <w:t>s</w:t>
      </w:r>
      <w:r>
        <w:rPr>
          <w:rFonts w:asciiTheme="majorHAnsi" w:hAnsiTheme="majorHAnsi"/>
        </w:rPr>
        <w:t xml:space="preserve"> </w:t>
      </w:r>
      <w:r w:rsidR="00830658">
        <w:rPr>
          <w:rFonts w:asciiTheme="majorHAnsi" w:hAnsiTheme="majorHAnsi"/>
        </w:rPr>
        <w:t xml:space="preserve">providing innovative solutions across specific economies and in specific sectors </w:t>
      </w:r>
      <w:r>
        <w:rPr>
          <w:rFonts w:asciiTheme="majorHAnsi" w:hAnsiTheme="majorHAnsi"/>
        </w:rPr>
        <w:t>should be att</w:t>
      </w:r>
      <w:r w:rsidR="003E076F">
        <w:rPr>
          <w:rFonts w:asciiTheme="majorHAnsi" w:hAnsiTheme="majorHAnsi"/>
        </w:rPr>
        <w:t>ainable by examining data on the registration</w:t>
      </w:r>
      <w:r>
        <w:rPr>
          <w:rFonts w:asciiTheme="majorHAnsi" w:hAnsiTheme="majorHAnsi"/>
        </w:rPr>
        <w:t xml:space="preserve"> of some of the more </w:t>
      </w:r>
      <w:r w:rsidR="004700A0">
        <w:rPr>
          <w:rFonts w:asciiTheme="majorHAnsi" w:hAnsiTheme="majorHAnsi"/>
        </w:rPr>
        <w:t>common</w:t>
      </w:r>
      <w:r>
        <w:rPr>
          <w:rFonts w:asciiTheme="majorHAnsi" w:hAnsiTheme="majorHAnsi"/>
        </w:rPr>
        <w:t xml:space="preserve"> </w:t>
      </w:r>
      <w:r w:rsidRPr="000C41F7">
        <w:rPr>
          <w:rFonts w:asciiTheme="majorHAnsi" w:hAnsiTheme="majorHAnsi"/>
          <w:i/>
        </w:rPr>
        <w:t>intangible assets</w:t>
      </w:r>
      <w:r w:rsidR="00156DE9">
        <w:rPr>
          <w:rFonts w:asciiTheme="majorHAnsi" w:hAnsiTheme="majorHAnsi"/>
        </w:rPr>
        <w:t xml:space="preserve">, such as </w:t>
      </w:r>
      <w:r w:rsidR="00156DE9" w:rsidRPr="004700A0">
        <w:rPr>
          <w:rFonts w:asciiTheme="majorHAnsi" w:hAnsiTheme="majorHAnsi"/>
          <w:i/>
        </w:rPr>
        <w:t>patents</w:t>
      </w:r>
      <w:r w:rsidR="00156DE9">
        <w:rPr>
          <w:rFonts w:asciiTheme="majorHAnsi" w:hAnsiTheme="majorHAnsi"/>
        </w:rPr>
        <w:t xml:space="preserve">, </w:t>
      </w:r>
      <w:r w:rsidR="00156DE9" w:rsidRPr="004700A0">
        <w:rPr>
          <w:rFonts w:asciiTheme="majorHAnsi" w:hAnsiTheme="majorHAnsi"/>
          <w:i/>
        </w:rPr>
        <w:t>trademarks</w:t>
      </w:r>
      <w:r w:rsidR="00156DE9">
        <w:rPr>
          <w:rFonts w:asciiTheme="majorHAnsi" w:hAnsiTheme="majorHAnsi"/>
        </w:rPr>
        <w:t xml:space="preserve">, </w:t>
      </w:r>
      <w:r w:rsidR="00156DE9" w:rsidRPr="004700A0">
        <w:rPr>
          <w:rFonts w:asciiTheme="majorHAnsi" w:hAnsiTheme="majorHAnsi"/>
          <w:i/>
        </w:rPr>
        <w:t>brands</w:t>
      </w:r>
      <w:r w:rsidR="00156DE9">
        <w:rPr>
          <w:rFonts w:asciiTheme="majorHAnsi" w:hAnsiTheme="majorHAnsi"/>
        </w:rPr>
        <w:t>, etc</w:t>
      </w:r>
      <w:r w:rsidR="009658F8">
        <w:rPr>
          <w:rFonts w:asciiTheme="majorHAnsi" w:hAnsiTheme="majorHAnsi"/>
        </w:rPr>
        <w:t>.</w:t>
      </w:r>
      <w:r w:rsidR="003E4AD4">
        <w:rPr>
          <w:rStyle w:val="FootnoteReference"/>
          <w:rFonts w:asciiTheme="majorHAnsi" w:hAnsiTheme="majorHAnsi"/>
        </w:rPr>
        <w:footnoteReference w:id="10"/>
      </w:r>
      <w:r w:rsidR="00156DE9">
        <w:rPr>
          <w:rFonts w:asciiTheme="majorHAnsi" w:hAnsiTheme="majorHAnsi"/>
        </w:rPr>
        <w:t>.</w:t>
      </w:r>
      <w:r w:rsidR="004C7A0E">
        <w:rPr>
          <w:rFonts w:asciiTheme="majorHAnsi" w:hAnsiTheme="majorHAnsi"/>
        </w:rPr>
        <w:t xml:space="preserve"> </w:t>
      </w:r>
      <w:r w:rsidR="000C41F7">
        <w:rPr>
          <w:rFonts w:asciiTheme="majorHAnsi" w:hAnsiTheme="majorHAnsi"/>
        </w:rPr>
        <w:t xml:space="preserve">These datasets </w:t>
      </w:r>
      <w:r w:rsidR="009658F8">
        <w:rPr>
          <w:rFonts w:asciiTheme="majorHAnsi" w:hAnsiTheme="majorHAnsi"/>
        </w:rPr>
        <w:t>provide</w:t>
      </w:r>
      <w:r w:rsidR="000C41F7">
        <w:rPr>
          <w:rFonts w:asciiTheme="majorHAnsi" w:hAnsiTheme="majorHAnsi"/>
        </w:rPr>
        <w:t xml:space="preserve"> detailed asset-level data</w:t>
      </w:r>
      <w:r w:rsidR="009658F8">
        <w:rPr>
          <w:rFonts w:asciiTheme="majorHAnsi" w:hAnsiTheme="majorHAnsi"/>
        </w:rPr>
        <w:t>,</w:t>
      </w:r>
      <w:r w:rsidR="000C41F7">
        <w:rPr>
          <w:rFonts w:asciiTheme="majorHAnsi" w:hAnsiTheme="majorHAnsi"/>
        </w:rPr>
        <w:t xml:space="preserve"> specifying </w:t>
      </w:r>
      <w:r w:rsidR="00830658">
        <w:rPr>
          <w:rFonts w:asciiTheme="majorHAnsi" w:hAnsiTheme="majorHAnsi"/>
        </w:rPr>
        <w:t xml:space="preserve">the </w:t>
      </w:r>
      <w:r w:rsidR="000C41F7">
        <w:rPr>
          <w:rFonts w:asciiTheme="majorHAnsi" w:hAnsiTheme="majorHAnsi"/>
        </w:rPr>
        <w:t xml:space="preserve">owner firm, and critical characteristics of the intangible asset. </w:t>
      </w:r>
      <w:r w:rsidR="00D10254">
        <w:rPr>
          <w:rFonts w:asciiTheme="majorHAnsi" w:hAnsiTheme="majorHAnsi"/>
        </w:rPr>
        <w:t xml:space="preserve">Obtaining estimates on </w:t>
      </w:r>
      <w:r w:rsidR="008D4712">
        <w:rPr>
          <w:rFonts w:asciiTheme="majorHAnsi" w:hAnsiTheme="majorHAnsi"/>
        </w:rPr>
        <w:t>their ab</w:t>
      </w:r>
      <w:r w:rsidR="00727F04">
        <w:rPr>
          <w:rFonts w:asciiTheme="majorHAnsi" w:hAnsiTheme="majorHAnsi"/>
        </w:rPr>
        <w:t xml:space="preserve">ility to utilize </w:t>
      </w:r>
      <w:proofErr w:type="gramStart"/>
      <w:r w:rsidR="00727F04">
        <w:rPr>
          <w:rFonts w:asciiTheme="majorHAnsi" w:hAnsiTheme="majorHAnsi"/>
        </w:rPr>
        <w:t>credit</w:t>
      </w:r>
      <w:r w:rsidR="00EF4C8C">
        <w:rPr>
          <w:rFonts w:asciiTheme="majorHAnsi" w:hAnsiTheme="majorHAnsi"/>
        </w:rPr>
        <w:t>,</w:t>
      </w:r>
      <w:proofErr w:type="gramEnd"/>
      <w:r w:rsidR="00727F04">
        <w:rPr>
          <w:rFonts w:asciiTheme="majorHAnsi" w:hAnsiTheme="majorHAnsi"/>
        </w:rPr>
        <w:t xml:space="preserve"> would entail </w:t>
      </w:r>
      <w:r w:rsidR="00150C39">
        <w:rPr>
          <w:rFonts w:asciiTheme="majorHAnsi" w:hAnsiTheme="majorHAnsi"/>
        </w:rPr>
        <w:t xml:space="preserve">augmenting and linking the above datasets with datasets containing </w:t>
      </w:r>
      <w:r w:rsidR="00727F04">
        <w:rPr>
          <w:rFonts w:asciiTheme="majorHAnsi" w:hAnsiTheme="majorHAnsi"/>
        </w:rPr>
        <w:t xml:space="preserve">firm-level data on </w:t>
      </w:r>
      <w:r w:rsidR="00830658">
        <w:rPr>
          <w:rFonts w:asciiTheme="majorHAnsi" w:hAnsiTheme="majorHAnsi"/>
        </w:rPr>
        <w:t xml:space="preserve">containing </w:t>
      </w:r>
      <w:r w:rsidR="00727F04">
        <w:rPr>
          <w:rFonts w:asciiTheme="majorHAnsi" w:hAnsiTheme="majorHAnsi"/>
        </w:rPr>
        <w:t>financial</w:t>
      </w:r>
      <w:r w:rsidR="00150C39">
        <w:rPr>
          <w:rFonts w:asciiTheme="majorHAnsi" w:hAnsiTheme="majorHAnsi"/>
        </w:rPr>
        <w:t xml:space="preserve"> statements such as </w:t>
      </w:r>
      <w:r w:rsidR="00727F04">
        <w:rPr>
          <w:rFonts w:asciiTheme="majorHAnsi" w:hAnsiTheme="majorHAnsi"/>
        </w:rPr>
        <w:t>income, cash-flow and balance sheet statements</w:t>
      </w:r>
      <w:r w:rsidR="00150C39">
        <w:rPr>
          <w:rFonts w:asciiTheme="majorHAnsi" w:hAnsiTheme="majorHAnsi"/>
        </w:rPr>
        <w:t xml:space="preserve">. In addition the analysis would require </w:t>
      </w:r>
      <w:r w:rsidR="00727F04">
        <w:rPr>
          <w:rFonts w:asciiTheme="majorHAnsi" w:hAnsiTheme="majorHAnsi"/>
        </w:rPr>
        <w:t xml:space="preserve">data on their utilization of internal and external financing. </w:t>
      </w:r>
    </w:p>
    <w:p w:rsidR="00D10254" w:rsidRDefault="00EF4C8C" w:rsidP="008937A8">
      <w:pPr>
        <w:spacing w:after="120"/>
        <w:rPr>
          <w:rFonts w:asciiTheme="majorHAnsi" w:hAnsiTheme="majorHAnsi"/>
        </w:rPr>
      </w:pPr>
      <w:r>
        <w:rPr>
          <w:rFonts w:asciiTheme="majorHAnsi" w:hAnsiTheme="majorHAnsi"/>
        </w:rPr>
        <w:t xml:space="preserve">Obtaining estimates on the </w:t>
      </w:r>
      <w:r w:rsidRPr="00D10254">
        <w:rPr>
          <w:rFonts w:asciiTheme="majorHAnsi" w:hAnsiTheme="majorHAnsi"/>
          <w:b/>
        </w:rPr>
        <w:t>potential</w:t>
      </w:r>
      <w:r>
        <w:rPr>
          <w:rFonts w:asciiTheme="majorHAnsi" w:hAnsiTheme="majorHAnsi"/>
        </w:rPr>
        <w:t xml:space="preserve"> number of innovative SMEs</w:t>
      </w:r>
      <w:r w:rsidR="00830658">
        <w:rPr>
          <w:rFonts w:asciiTheme="majorHAnsi" w:hAnsiTheme="majorHAnsi"/>
        </w:rPr>
        <w:t xml:space="preserve">, </w:t>
      </w:r>
      <w:r w:rsidR="00160D9F">
        <w:rPr>
          <w:rFonts w:asciiTheme="majorHAnsi" w:hAnsiTheme="majorHAnsi"/>
        </w:rPr>
        <w:t>their ability to innovate and utilize credit</w:t>
      </w:r>
      <w:r>
        <w:rPr>
          <w:rFonts w:asciiTheme="majorHAnsi" w:hAnsiTheme="majorHAnsi"/>
        </w:rPr>
        <w:t xml:space="preserve"> may be empirically and analytically more challenging, but still possible </w:t>
      </w:r>
      <w:r w:rsidR="009740E8">
        <w:rPr>
          <w:rFonts w:asciiTheme="majorHAnsi" w:hAnsiTheme="majorHAnsi"/>
        </w:rPr>
        <w:t xml:space="preserve">The use of these datasets should allow the construction of a sample of innovative SMEs that received external credit (financed firms) and a similar sample of innovative SMEs that did not (non-financed firms). The difference in </w:t>
      </w:r>
      <w:r w:rsidR="00830658">
        <w:rPr>
          <w:rFonts w:asciiTheme="majorHAnsi" w:hAnsiTheme="majorHAnsi"/>
        </w:rPr>
        <w:t xml:space="preserve">innovation generation and </w:t>
      </w:r>
      <w:r w:rsidR="009740E8">
        <w:rPr>
          <w:rFonts w:asciiTheme="majorHAnsi" w:hAnsiTheme="majorHAnsi"/>
        </w:rPr>
        <w:t xml:space="preserve">financial performance between the sample of financed firms and the sample of non-financed firms should provide an estimate of potential credit demand </w:t>
      </w:r>
      <w:r w:rsidR="009740E8">
        <w:rPr>
          <w:rFonts w:asciiTheme="majorHAnsi" w:hAnsiTheme="majorHAnsi"/>
        </w:rPr>
        <w:lastRenderedPageBreak/>
        <w:t>of innovative SMEs</w:t>
      </w:r>
      <w:r w:rsidR="009740E8">
        <w:rPr>
          <w:rStyle w:val="FootnoteReference"/>
          <w:rFonts w:asciiTheme="majorHAnsi" w:hAnsiTheme="majorHAnsi"/>
        </w:rPr>
        <w:footnoteReference w:id="11"/>
      </w:r>
      <w:r w:rsidR="009740E8">
        <w:rPr>
          <w:rFonts w:asciiTheme="majorHAnsi" w:hAnsiTheme="majorHAnsi"/>
        </w:rPr>
        <w:t>.</w:t>
      </w:r>
      <w:r w:rsidR="00B2621F">
        <w:rPr>
          <w:rFonts w:asciiTheme="majorHAnsi" w:hAnsiTheme="majorHAnsi"/>
        </w:rPr>
        <w:t xml:space="preserve"> </w:t>
      </w:r>
      <w:r w:rsidR="00727F04">
        <w:rPr>
          <w:rFonts w:asciiTheme="majorHAnsi" w:hAnsiTheme="majorHAnsi"/>
        </w:rPr>
        <w:t xml:space="preserve">The use of </w:t>
      </w:r>
      <w:r w:rsidR="008B6F90">
        <w:rPr>
          <w:rFonts w:asciiTheme="majorHAnsi" w:hAnsiTheme="majorHAnsi"/>
        </w:rPr>
        <w:t xml:space="preserve">readily available, </w:t>
      </w:r>
      <w:r w:rsidR="00727F04">
        <w:rPr>
          <w:rFonts w:asciiTheme="majorHAnsi" w:hAnsiTheme="majorHAnsi"/>
        </w:rPr>
        <w:t>already existing</w:t>
      </w:r>
      <w:r w:rsidR="008B6F90">
        <w:rPr>
          <w:rFonts w:asciiTheme="majorHAnsi" w:hAnsiTheme="majorHAnsi"/>
        </w:rPr>
        <w:t xml:space="preserve"> </w:t>
      </w:r>
      <w:r w:rsidR="00727F04">
        <w:rPr>
          <w:rFonts w:asciiTheme="majorHAnsi" w:hAnsiTheme="majorHAnsi"/>
        </w:rPr>
        <w:t xml:space="preserve">digitally readable data sets, </w:t>
      </w:r>
      <w:r w:rsidR="00727F04" w:rsidRPr="00727F04">
        <w:rPr>
          <w:rFonts w:asciiTheme="majorHAnsi" w:hAnsiTheme="majorHAnsi"/>
          <w:i/>
        </w:rPr>
        <w:t>Administrative data</w:t>
      </w:r>
      <w:r w:rsidR="00727F04">
        <w:rPr>
          <w:rFonts w:asciiTheme="majorHAnsi" w:hAnsiTheme="majorHAnsi"/>
        </w:rPr>
        <w:t xml:space="preserve">, across the public and private sector </w:t>
      </w:r>
      <w:r w:rsidR="00150C39">
        <w:rPr>
          <w:rFonts w:asciiTheme="majorHAnsi" w:hAnsiTheme="majorHAnsi"/>
        </w:rPr>
        <w:t xml:space="preserve">can </w:t>
      </w:r>
      <w:r w:rsidR="008B6F90">
        <w:rPr>
          <w:rFonts w:asciiTheme="majorHAnsi" w:hAnsiTheme="majorHAnsi"/>
        </w:rPr>
        <w:t xml:space="preserve">provide a </w:t>
      </w:r>
      <w:r w:rsidR="00150C39">
        <w:rPr>
          <w:rFonts w:asciiTheme="majorHAnsi" w:hAnsiTheme="majorHAnsi"/>
        </w:rPr>
        <w:t xml:space="preserve">very </w:t>
      </w:r>
      <w:r w:rsidR="008B6F90">
        <w:rPr>
          <w:rFonts w:asciiTheme="majorHAnsi" w:hAnsiTheme="majorHAnsi"/>
        </w:rPr>
        <w:t>cost-effective solution for undertaking these research questions</w:t>
      </w:r>
      <w:r w:rsidR="0019146C">
        <w:rPr>
          <w:rStyle w:val="FootnoteReference"/>
          <w:rFonts w:asciiTheme="majorHAnsi" w:hAnsiTheme="majorHAnsi"/>
        </w:rPr>
        <w:footnoteReference w:id="12"/>
      </w:r>
      <w:r w:rsidR="00150C39">
        <w:rPr>
          <w:rFonts w:asciiTheme="majorHAnsi" w:hAnsiTheme="majorHAnsi"/>
        </w:rPr>
        <w:t>.</w:t>
      </w:r>
    </w:p>
    <w:p w:rsidR="00482CEB" w:rsidRDefault="00295C26" w:rsidP="00881ACB">
      <w:pPr>
        <w:spacing w:after="120"/>
        <w:rPr>
          <w:rFonts w:asciiTheme="majorHAnsi" w:hAnsiTheme="majorHAnsi"/>
        </w:rPr>
      </w:pPr>
      <w:r>
        <w:rPr>
          <w:rFonts w:asciiTheme="majorHAnsi" w:hAnsiTheme="majorHAnsi"/>
        </w:rPr>
        <w:t xml:space="preserve">Analyzing these specific </w:t>
      </w:r>
      <w:r w:rsidR="0066317E">
        <w:rPr>
          <w:rFonts w:asciiTheme="majorHAnsi" w:hAnsiTheme="majorHAnsi"/>
        </w:rPr>
        <w:t xml:space="preserve">micro-level </w:t>
      </w:r>
      <w:r>
        <w:rPr>
          <w:rFonts w:asciiTheme="majorHAnsi" w:hAnsiTheme="majorHAnsi"/>
        </w:rPr>
        <w:t xml:space="preserve">datasets should provide the </w:t>
      </w:r>
      <w:r w:rsidR="00D10254">
        <w:rPr>
          <w:rFonts w:asciiTheme="majorHAnsi" w:hAnsiTheme="majorHAnsi"/>
        </w:rPr>
        <w:t xml:space="preserve">best evidence of </w:t>
      </w:r>
      <w:r w:rsidR="0066317E">
        <w:rPr>
          <w:rFonts w:asciiTheme="majorHAnsi" w:hAnsiTheme="majorHAnsi"/>
        </w:rPr>
        <w:t xml:space="preserve">existing and potential credit demand from </w:t>
      </w:r>
      <w:r w:rsidR="00DA4679">
        <w:rPr>
          <w:rFonts w:asciiTheme="majorHAnsi" w:hAnsiTheme="majorHAnsi"/>
        </w:rPr>
        <w:t>t</w:t>
      </w:r>
      <w:r w:rsidR="0066317E">
        <w:rPr>
          <w:rFonts w:asciiTheme="majorHAnsi" w:hAnsiTheme="majorHAnsi"/>
        </w:rPr>
        <w:t xml:space="preserve">he innovative SME sector. </w:t>
      </w:r>
      <w:r w:rsidR="00617C73">
        <w:rPr>
          <w:rFonts w:asciiTheme="majorHAnsi" w:hAnsiTheme="majorHAnsi"/>
        </w:rPr>
        <w:t xml:space="preserve">There are alternative, less expensive although </w:t>
      </w:r>
      <w:r w:rsidR="00E347C2">
        <w:rPr>
          <w:rFonts w:asciiTheme="majorHAnsi" w:hAnsiTheme="majorHAnsi"/>
        </w:rPr>
        <w:t xml:space="preserve">much </w:t>
      </w:r>
      <w:r w:rsidR="00617C73">
        <w:rPr>
          <w:rFonts w:asciiTheme="majorHAnsi" w:hAnsiTheme="majorHAnsi"/>
        </w:rPr>
        <w:t>less accurate approaches to arriving at these estimates. M</w:t>
      </w:r>
      <w:r w:rsidR="0066317E">
        <w:rPr>
          <w:rFonts w:asciiTheme="majorHAnsi" w:hAnsiTheme="majorHAnsi"/>
        </w:rPr>
        <w:t xml:space="preserve">acro-level </w:t>
      </w:r>
      <w:r w:rsidR="00E347C2">
        <w:rPr>
          <w:rFonts w:asciiTheme="majorHAnsi" w:hAnsiTheme="majorHAnsi"/>
        </w:rPr>
        <w:t xml:space="preserve">data that is </w:t>
      </w:r>
      <w:r w:rsidR="00160D9F">
        <w:rPr>
          <w:rFonts w:asciiTheme="majorHAnsi" w:hAnsiTheme="majorHAnsi"/>
        </w:rPr>
        <w:t>readily available and less expensive</w:t>
      </w:r>
      <w:r w:rsidR="0066317E">
        <w:rPr>
          <w:rFonts w:asciiTheme="majorHAnsi" w:hAnsiTheme="majorHAnsi"/>
        </w:rPr>
        <w:t xml:space="preserve"> </w:t>
      </w:r>
      <w:r w:rsidR="00160D9F">
        <w:rPr>
          <w:rFonts w:asciiTheme="majorHAnsi" w:hAnsiTheme="majorHAnsi"/>
        </w:rPr>
        <w:t xml:space="preserve">to use, </w:t>
      </w:r>
      <w:r w:rsidR="0066317E">
        <w:rPr>
          <w:rFonts w:asciiTheme="majorHAnsi" w:hAnsiTheme="majorHAnsi"/>
        </w:rPr>
        <w:t xml:space="preserve">can provide broad indicators as to level and trends in intangible assets </w:t>
      </w:r>
      <w:r w:rsidR="00881ACB">
        <w:rPr>
          <w:rFonts w:asciiTheme="majorHAnsi" w:hAnsiTheme="majorHAnsi"/>
        </w:rPr>
        <w:t>across</w:t>
      </w:r>
      <w:r w:rsidR="0066317E">
        <w:rPr>
          <w:rFonts w:asciiTheme="majorHAnsi" w:hAnsiTheme="majorHAnsi"/>
        </w:rPr>
        <w:t xml:space="preserve"> economies, which can be used </w:t>
      </w:r>
      <w:r w:rsidR="00E347C2">
        <w:rPr>
          <w:rFonts w:asciiTheme="majorHAnsi" w:hAnsiTheme="majorHAnsi"/>
        </w:rPr>
        <w:t xml:space="preserve">to estimate </w:t>
      </w:r>
      <w:r w:rsidR="0066317E">
        <w:rPr>
          <w:rFonts w:asciiTheme="majorHAnsi" w:hAnsiTheme="majorHAnsi"/>
        </w:rPr>
        <w:t>very broad, general indicat</w:t>
      </w:r>
      <w:r w:rsidR="00881ACB">
        <w:rPr>
          <w:rFonts w:asciiTheme="majorHAnsi" w:hAnsiTheme="majorHAnsi"/>
        </w:rPr>
        <w:t xml:space="preserve">ors for the need to finance </w:t>
      </w:r>
      <w:r w:rsidR="00160D9F">
        <w:rPr>
          <w:rFonts w:asciiTheme="majorHAnsi" w:hAnsiTheme="majorHAnsi"/>
        </w:rPr>
        <w:t xml:space="preserve">innovative SMEs. For example, </w:t>
      </w:r>
      <w:proofErr w:type="spellStart"/>
      <w:r w:rsidR="00617C73">
        <w:rPr>
          <w:rFonts w:asciiTheme="majorHAnsi" w:hAnsiTheme="majorHAnsi"/>
        </w:rPr>
        <w:t>Jarboe</w:t>
      </w:r>
      <w:proofErr w:type="spellEnd"/>
      <w:r w:rsidR="00617C73">
        <w:rPr>
          <w:rFonts w:asciiTheme="majorHAnsi" w:hAnsiTheme="majorHAnsi"/>
        </w:rPr>
        <w:t xml:space="preserve"> (</w:t>
      </w:r>
      <w:proofErr w:type="spellStart"/>
      <w:r w:rsidR="00617C73">
        <w:rPr>
          <w:rFonts w:asciiTheme="majorHAnsi" w:hAnsiTheme="majorHAnsi"/>
        </w:rPr>
        <w:t>Jarboe</w:t>
      </w:r>
      <w:proofErr w:type="spellEnd"/>
      <w:r w:rsidR="00617C73">
        <w:rPr>
          <w:rFonts w:asciiTheme="majorHAnsi" w:hAnsiTheme="majorHAnsi"/>
        </w:rPr>
        <w:t xml:space="preserve"> 20</w:t>
      </w:r>
      <w:r w:rsidR="00617C73" w:rsidRPr="00617C73">
        <w:rPr>
          <w:rFonts w:asciiTheme="majorHAnsi" w:hAnsiTheme="majorHAnsi"/>
          <w:color w:val="FF0000"/>
        </w:rPr>
        <w:t>XX</w:t>
      </w:r>
      <w:r w:rsidR="00617C73">
        <w:rPr>
          <w:rFonts w:asciiTheme="majorHAnsi" w:hAnsiTheme="majorHAnsi"/>
        </w:rPr>
        <w:t>)</w:t>
      </w:r>
      <w:r w:rsidR="00160D9F">
        <w:rPr>
          <w:rFonts w:asciiTheme="majorHAnsi" w:hAnsiTheme="majorHAnsi"/>
        </w:rPr>
        <w:t xml:space="preserve"> </w:t>
      </w:r>
      <w:r w:rsidR="00617C73">
        <w:rPr>
          <w:rFonts w:asciiTheme="majorHAnsi" w:hAnsiTheme="majorHAnsi"/>
        </w:rPr>
        <w:t xml:space="preserve">states that </w:t>
      </w:r>
      <w:r w:rsidR="00160D9F">
        <w:rPr>
          <w:rFonts w:asciiTheme="majorHAnsi" w:hAnsiTheme="majorHAnsi"/>
        </w:rPr>
        <w:t>“</w:t>
      </w:r>
      <w:r w:rsidR="00160D9F" w:rsidRPr="00881ACB">
        <w:rPr>
          <w:rFonts w:asciiTheme="majorHAnsi" w:hAnsiTheme="majorHAnsi"/>
        </w:rPr>
        <w:t>In the United States, more than $1 trillion annually is</w:t>
      </w:r>
      <w:r w:rsidR="00160D9F">
        <w:rPr>
          <w:rFonts w:asciiTheme="majorHAnsi" w:hAnsiTheme="majorHAnsi"/>
        </w:rPr>
        <w:t xml:space="preserve"> </w:t>
      </w:r>
      <w:r w:rsidR="00160D9F" w:rsidRPr="00881ACB">
        <w:rPr>
          <w:rFonts w:asciiTheme="majorHAnsi" w:hAnsiTheme="majorHAnsi"/>
        </w:rPr>
        <w:t>invested in the creation of intangible assets, and in 2005 their</w:t>
      </w:r>
      <w:r w:rsidR="00160D9F">
        <w:rPr>
          <w:rFonts w:asciiTheme="majorHAnsi" w:hAnsiTheme="majorHAnsi"/>
        </w:rPr>
        <w:t xml:space="preserve"> </w:t>
      </w:r>
      <w:r w:rsidR="00160D9F" w:rsidRPr="00881ACB">
        <w:rPr>
          <w:rFonts w:asciiTheme="majorHAnsi" w:hAnsiTheme="majorHAnsi"/>
        </w:rPr>
        <w:t>total value was estimated at $9.2 trillion</w:t>
      </w:r>
      <w:r w:rsidR="00160D9F">
        <w:rPr>
          <w:rFonts w:asciiTheme="majorHAnsi" w:hAnsiTheme="majorHAnsi"/>
        </w:rPr>
        <w:t>”</w:t>
      </w:r>
      <w:r w:rsidR="00160D9F">
        <w:rPr>
          <w:rStyle w:val="FootnoteReference"/>
          <w:rFonts w:asciiTheme="majorHAnsi" w:hAnsiTheme="majorHAnsi"/>
        </w:rPr>
        <w:footnoteReference w:id="13"/>
      </w:r>
      <w:r w:rsidR="00160D9F">
        <w:rPr>
          <w:rFonts w:asciiTheme="majorHAnsi" w:hAnsiTheme="majorHAnsi"/>
        </w:rPr>
        <w:t xml:space="preserve">. </w:t>
      </w:r>
      <w:r w:rsidR="00617C73">
        <w:rPr>
          <w:rFonts w:asciiTheme="majorHAnsi" w:hAnsiTheme="majorHAnsi"/>
        </w:rPr>
        <w:t xml:space="preserve">This information supports the view that </w:t>
      </w:r>
      <w:r w:rsidR="00160D9F">
        <w:rPr>
          <w:rFonts w:asciiTheme="majorHAnsi" w:hAnsiTheme="majorHAnsi"/>
        </w:rPr>
        <w:t>in the United States there is a significant market potential to finance intangible assets projects</w:t>
      </w:r>
      <w:r w:rsidR="00617C73">
        <w:rPr>
          <w:rFonts w:asciiTheme="majorHAnsi" w:hAnsiTheme="majorHAnsi"/>
        </w:rPr>
        <w:t>. A back of the envelope calcu</w:t>
      </w:r>
      <w:r w:rsidR="00DA4679">
        <w:rPr>
          <w:rFonts w:asciiTheme="majorHAnsi" w:hAnsiTheme="majorHAnsi"/>
        </w:rPr>
        <w:t>lation on the ratio of SMEs to l</w:t>
      </w:r>
      <w:r w:rsidR="00617C73">
        <w:rPr>
          <w:rFonts w:asciiTheme="majorHAnsi" w:hAnsiTheme="majorHAnsi"/>
        </w:rPr>
        <w:t>arge entities in the U.S. economy that registered intangible assets would provide a rough estimate of</w:t>
      </w:r>
      <w:r w:rsidR="00160D9F">
        <w:rPr>
          <w:rFonts w:asciiTheme="majorHAnsi" w:hAnsiTheme="majorHAnsi"/>
        </w:rPr>
        <w:t xml:space="preserve"> the </w:t>
      </w:r>
      <w:r w:rsidR="00617C73">
        <w:rPr>
          <w:rFonts w:asciiTheme="majorHAnsi" w:hAnsiTheme="majorHAnsi"/>
        </w:rPr>
        <w:t>market potential for financing Innovative SMEs in the United States.</w:t>
      </w:r>
      <w:r w:rsidR="00881ACB">
        <w:rPr>
          <w:rStyle w:val="FootnoteReference"/>
          <w:rFonts w:asciiTheme="majorHAnsi" w:hAnsiTheme="majorHAnsi"/>
        </w:rPr>
        <w:footnoteReference w:id="14"/>
      </w:r>
    </w:p>
    <w:p w:rsidR="00482CEB" w:rsidRDefault="00482CEB" w:rsidP="00881ACB">
      <w:pPr>
        <w:spacing w:after="120"/>
        <w:rPr>
          <w:rFonts w:asciiTheme="majorHAnsi" w:hAnsiTheme="majorHAnsi"/>
        </w:rPr>
      </w:pPr>
      <w:proofErr w:type="spellStart"/>
      <w:r>
        <w:rPr>
          <w:rFonts w:asciiTheme="majorHAnsi" w:hAnsiTheme="majorHAnsi"/>
        </w:rPr>
        <w:t>Jarboe</w:t>
      </w:r>
      <w:proofErr w:type="spellEnd"/>
      <w:r>
        <w:rPr>
          <w:rFonts w:asciiTheme="majorHAnsi" w:hAnsiTheme="majorHAnsi"/>
        </w:rPr>
        <w:t xml:space="preserve"> continues “</w:t>
      </w:r>
      <w:r w:rsidRPr="00482CEB">
        <w:rPr>
          <w:rFonts w:asciiTheme="majorHAnsi" w:hAnsiTheme="majorHAnsi"/>
        </w:rPr>
        <w:t>However, only a portion of that value shows up in company financial reports. Likewise, intangible assets rarely merit consideration in the financial system. As a result, companies are unable to obtain the capital that they could use for business inno</w:t>
      </w:r>
      <w:r>
        <w:rPr>
          <w:rFonts w:asciiTheme="majorHAnsi" w:hAnsiTheme="majorHAnsi"/>
        </w:rPr>
        <w:t xml:space="preserve">vation and expansion”. </w:t>
      </w:r>
      <w:proofErr w:type="spellStart"/>
      <w:r>
        <w:rPr>
          <w:rFonts w:asciiTheme="majorHAnsi" w:hAnsiTheme="majorHAnsi"/>
        </w:rPr>
        <w:t>Jarboe’s</w:t>
      </w:r>
      <w:proofErr w:type="spellEnd"/>
      <w:r>
        <w:rPr>
          <w:rFonts w:asciiTheme="majorHAnsi" w:hAnsiTheme="majorHAnsi"/>
        </w:rPr>
        <w:t xml:space="preserve"> comment highlights the maker potential</w:t>
      </w:r>
      <w:r w:rsidR="00E347C2">
        <w:rPr>
          <w:rFonts w:asciiTheme="majorHAnsi" w:hAnsiTheme="majorHAnsi"/>
        </w:rPr>
        <w:t>, and market gap, for financing</w:t>
      </w:r>
      <w:r>
        <w:rPr>
          <w:rFonts w:asciiTheme="majorHAnsi" w:hAnsiTheme="majorHAnsi"/>
        </w:rPr>
        <w:t xml:space="preserve"> intangible assets, as well as the multitude of challenges in using </w:t>
      </w:r>
      <w:r w:rsidR="00E347C2">
        <w:rPr>
          <w:rFonts w:asciiTheme="majorHAnsi" w:hAnsiTheme="majorHAnsi"/>
        </w:rPr>
        <w:t>intangible assets</w:t>
      </w:r>
      <w:r>
        <w:rPr>
          <w:rFonts w:asciiTheme="majorHAnsi" w:hAnsiTheme="majorHAnsi"/>
        </w:rPr>
        <w:t xml:space="preserve"> as an alternative source of collateral </w:t>
      </w:r>
      <w:r w:rsidR="00E347C2">
        <w:rPr>
          <w:rFonts w:asciiTheme="majorHAnsi" w:hAnsiTheme="majorHAnsi"/>
        </w:rPr>
        <w:t xml:space="preserve">for </w:t>
      </w:r>
      <w:r>
        <w:rPr>
          <w:rFonts w:asciiTheme="majorHAnsi" w:hAnsiTheme="majorHAnsi"/>
        </w:rPr>
        <w:t xml:space="preserve">replacing physical assets. Even more importantly, or perhaps most importantly, </w:t>
      </w:r>
      <w:r w:rsidR="00E347C2" w:rsidRPr="00E347C2">
        <w:rPr>
          <w:rFonts w:asciiTheme="majorHAnsi" w:hAnsiTheme="majorHAnsi"/>
          <w:b/>
        </w:rPr>
        <w:t>the market gap to finance Innovative SMEs and the</w:t>
      </w:r>
      <w:r w:rsidRPr="00E347C2">
        <w:rPr>
          <w:rFonts w:asciiTheme="majorHAnsi" w:hAnsiTheme="majorHAnsi"/>
          <w:b/>
        </w:rPr>
        <w:t xml:space="preserve"> multitude of challenges </w:t>
      </w:r>
      <w:r w:rsidR="00E347C2" w:rsidRPr="00E347C2">
        <w:rPr>
          <w:rFonts w:asciiTheme="majorHAnsi" w:hAnsiTheme="majorHAnsi"/>
          <w:b/>
        </w:rPr>
        <w:t xml:space="preserve">of such an approach </w:t>
      </w:r>
      <w:r w:rsidRPr="00E347C2">
        <w:rPr>
          <w:rFonts w:asciiTheme="majorHAnsi" w:hAnsiTheme="majorHAnsi"/>
          <w:b/>
        </w:rPr>
        <w:t>are the very demand-based factors that create the unique opportunity</w:t>
      </w:r>
      <w:r w:rsidR="006C7E69" w:rsidRPr="00E347C2">
        <w:rPr>
          <w:rFonts w:asciiTheme="majorHAnsi" w:hAnsiTheme="majorHAnsi"/>
          <w:b/>
        </w:rPr>
        <w:t>, and risks,</w:t>
      </w:r>
      <w:r w:rsidRPr="00E347C2">
        <w:rPr>
          <w:rFonts w:asciiTheme="majorHAnsi" w:hAnsiTheme="majorHAnsi"/>
          <w:b/>
        </w:rPr>
        <w:t xml:space="preserve"> for MGS to enter this market</w:t>
      </w:r>
      <w:r>
        <w:rPr>
          <w:rFonts w:asciiTheme="majorHAnsi" w:hAnsiTheme="majorHAnsi"/>
        </w:rPr>
        <w:t xml:space="preserve">. </w:t>
      </w:r>
    </w:p>
    <w:p w:rsidR="00295C26" w:rsidRDefault="00DA68F3" w:rsidP="00881ACB">
      <w:pPr>
        <w:spacing w:after="120"/>
        <w:rPr>
          <w:rFonts w:asciiTheme="majorHAnsi" w:hAnsiTheme="majorHAnsi"/>
        </w:rPr>
      </w:pPr>
      <w:r>
        <w:rPr>
          <w:rFonts w:asciiTheme="majorHAnsi" w:hAnsiTheme="majorHAnsi"/>
        </w:rPr>
        <w:t xml:space="preserve">More specifically, </w:t>
      </w:r>
      <w:proofErr w:type="spellStart"/>
      <w:r w:rsidR="002F35FB">
        <w:rPr>
          <w:rFonts w:asciiTheme="majorHAnsi" w:hAnsiTheme="majorHAnsi"/>
        </w:rPr>
        <w:t>Jarboe’s</w:t>
      </w:r>
      <w:proofErr w:type="spellEnd"/>
      <w:r w:rsidR="002F35FB">
        <w:rPr>
          <w:rFonts w:asciiTheme="majorHAnsi" w:hAnsiTheme="majorHAnsi"/>
        </w:rPr>
        <w:t xml:space="preserve"> recommendations aim to improve, standardize, the market evaluations and sale of </w:t>
      </w:r>
      <w:r w:rsidR="002F35FB" w:rsidRPr="008E5F89">
        <w:rPr>
          <w:rFonts w:asciiTheme="majorHAnsi" w:hAnsiTheme="majorHAnsi"/>
          <w:b/>
        </w:rPr>
        <w:t>existing</w:t>
      </w:r>
      <w:r w:rsidR="002F35FB">
        <w:rPr>
          <w:rFonts w:asciiTheme="majorHAnsi" w:hAnsiTheme="majorHAnsi"/>
        </w:rPr>
        <w:t xml:space="preserve"> intangible assets, so that they may serve as collateral for future borrowing</w:t>
      </w:r>
      <w:r w:rsidR="002377CF">
        <w:rPr>
          <w:rFonts w:asciiTheme="majorHAnsi" w:hAnsiTheme="majorHAnsi"/>
        </w:rPr>
        <w:t xml:space="preserve"> by innovative firms</w:t>
      </w:r>
      <w:r w:rsidR="002F35FB">
        <w:rPr>
          <w:rFonts w:asciiTheme="majorHAnsi" w:hAnsiTheme="majorHAnsi"/>
        </w:rPr>
        <w:t xml:space="preserve">. As such, </w:t>
      </w:r>
      <w:proofErr w:type="spellStart"/>
      <w:r w:rsidR="002F35FB">
        <w:rPr>
          <w:rFonts w:asciiTheme="majorHAnsi" w:hAnsiTheme="majorHAnsi"/>
        </w:rPr>
        <w:t>Jarboe</w:t>
      </w:r>
      <w:r w:rsidR="00DA4679">
        <w:rPr>
          <w:rFonts w:asciiTheme="majorHAnsi" w:hAnsiTheme="majorHAnsi"/>
        </w:rPr>
        <w:t>’s</w:t>
      </w:r>
      <w:proofErr w:type="spellEnd"/>
      <w:r w:rsidR="002F35FB">
        <w:rPr>
          <w:rFonts w:asciiTheme="majorHAnsi" w:hAnsiTheme="majorHAnsi"/>
        </w:rPr>
        <w:t xml:space="preserve"> very worthwhile and much need</w:t>
      </w:r>
      <w:r w:rsidR="008E5F89">
        <w:rPr>
          <w:rFonts w:asciiTheme="majorHAnsi" w:hAnsiTheme="majorHAnsi"/>
        </w:rPr>
        <w:t>ed</w:t>
      </w:r>
      <w:r w:rsidR="002F35FB">
        <w:rPr>
          <w:rFonts w:asciiTheme="majorHAnsi" w:hAnsiTheme="majorHAnsi"/>
        </w:rPr>
        <w:t xml:space="preserve"> recommendations are intended to improve asset-based lending, with </w:t>
      </w:r>
      <w:r w:rsidR="008E5F89" w:rsidRPr="0077611A">
        <w:rPr>
          <w:rFonts w:asciiTheme="majorHAnsi" w:hAnsiTheme="majorHAnsi"/>
          <w:b/>
        </w:rPr>
        <w:t>existing</w:t>
      </w:r>
      <w:r w:rsidR="008E5F89">
        <w:rPr>
          <w:rFonts w:asciiTheme="majorHAnsi" w:hAnsiTheme="majorHAnsi"/>
        </w:rPr>
        <w:t xml:space="preserve"> </w:t>
      </w:r>
      <w:r w:rsidR="002F35FB">
        <w:rPr>
          <w:rFonts w:asciiTheme="majorHAnsi" w:hAnsiTheme="majorHAnsi"/>
        </w:rPr>
        <w:t xml:space="preserve">intangible assets being the specific collateral supporting </w:t>
      </w:r>
      <w:r w:rsidR="008E5F89">
        <w:rPr>
          <w:rFonts w:asciiTheme="majorHAnsi" w:hAnsiTheme="majorHAnsi"/>
        </w:rPr>
        <w:t xml:space="preserve">future </w:t>
      </w:r>
      <w:r w:rsidR="002F35FB">
        <w:rPr>
          <w:rFonts w:asciiTheme="majorHAnsi" w:hAnsiTheme="majorHAnsi"/>
        </w:rPr>
        <w:t>lending to innovative firms. The proposal outlined in this paper is based on a very different, indeed totally different, basis for</w:t>
      </w:r>
      <w:r w:rsidR="0077611A">
        <w:rPr>
          <w:rFonts w:asciiTheme="majorHAnsi" w:hAnsiTheme="majorHAnsi"/>
        </w:rPr>
        <w:t xml:space="preserve"> </w:t>
      </w:r>
      <w:r w:rsidR="002377CF">
        <w:rPr>
          <w:rFonts w:asciiTheme="majorHAnsi" w:hAnsiTheme="majorHAnsi"/>
        </w:rPr>
        <w:t xml:space="preserve">financing future </w:t>
      </w:r>
      <w:r w:rsidR="002F35FB">
        <w:rPr>
          <w:rFonts w:asciiTheme="majorHAnsi" w:hAnsiTheme="majorHAnsi"/>
        </w:rPr>
        <w:t xml:space="preserve">innovative SMEs. It </w:t>
      </w:r>
      <w:r w:rsidR="008E5F89">
        <w:rPr>
          <w:rFonts w:asciiTheme="majorHAnsi" w:hAnsiTheme="majorHAnsi"/>
        </w:rPr>
        <w:t xml:space="preserve">proposes to use the sector-specific knowledge of the MGS to assess </w:t>
      </w:r>
      <w:r w:rsidR="0077611A" w:rsidRPr="0077611A">
        <w:rPr>
          <w:rFonts w:asciiTheme="majorHAnsi" w:hAnsiTheme="majorHAnsi"/>
          <w:b/>
        </w:rPr>
        <w:t>future</w:t>
      </w:r>
      <w:r w:rsidR="0077611A">
        <w:rPr>
          <w:rFonts w:asciiTheme="majorHAnsi" w:hAnsiTheme="majorHAnsi"/>
        </w:rPr>
        <w:t xml:space="preserve"> </w:t>
      </w:r>
      <w:r w:rsidR="008E5F89">
        <w:rPr>
          <w:rFonts w:asciiTheme="majorHAnsi" w:hAnsiTheme="majorHAnsi"/>
        </w:rPr>
        <w:t xml:space="preserve">commercial value and credit worthiness of </w:t>
      </w:r>
      <w:r w:rsidR="008E5F89" w:rsidRPr="008E5F89">
        <w:rPr>
          <w:rFonts w:asciiTheme="majorHAnsi" w:hAnsiTheme="majorHAnsi"/>
          <w:b/>
        </w:rPr>
        <w:t>future</w:t>
      </w:r>
      <w:r w:rsidR="008E5F89">
        <w:rPr>
          <w:rFonts w:asciiTheme="majorHAnsi" w:hAnsiTheme="majorHAnsi"/>
        </w:rPr>
        <w:t xml:space="preserve"> innovation </w:t>
      </w:r>
      <w:r w:rsidR="002377CF">
        <w:rPr>
          <w:rFonts w:asciiTheme="majorHAnsi" w:hAnsiTheme="majorHAnsi"/>
        </w:rPr>
        <w:t xml:space="preserve">provided by </w:t>
      </w:r>
      <w:r w:rsidR="00C40410">
        <w:rPr>
          <w:rFonts w:asciiTheme="majorHAnsi" w:hAnsiTheme="majorHAnsi"/>
        </w:rPr>
        <w:t xml:space="preserve">Innovative </w:t>
      </w:r>
      <w:r w:rsidR="008E5F89">
        <w:rPr>
          <w:rFonts w:asciiTheme="majorHAnsi" w:hAnsiTheme="majorHAnsi"/>
        </w:rPr>
        <w:t>SMEs.</w:t>
      </w:r>
      <w:r w:rsidR="0077611A">
        <w:rPr>
          <w:rFonts w:asciiTheme="majorHAnsi" w:hAnsiTheme="majorHAnsi"/>
        </w:rPr>
        <w:t xml:space="preserve"> </w:t>
      </w:r>
      <w:r w:rsidR="0077611A" w:rsidRPr="00701A43">
        <w:rPr>
          <w:rFonts w:asciiTheme="majorHAnsi" w:hAnsiTheme="majorHAnsi"/>
        </w:rPr>
        <w:t xml:space="preserve">Thus </w:t>
      </w:r>
      <w:r w:rsidR="0077611A" w:rsidRPr="002377CF">
        <w:rPr>
          <w:rFonts w:asciiTheme="majorHAnsi" w:hAnsiTheme="majorHAnsi"/>
          <w:b/>
        </w:rPr>
        <w:t xml:space="preserve">the </w:t>
      </w:r>
      <w:r w:rsidR="002377CF" w:rsidRPr="002377CF">
        <w:rPr>
          <w:rFonts w:asciiTheme="majorHAnsi" w:hAnsiTheme="majorHAnsi"/>
          <w:b/>
        </w:rPr>
        <w:t xml:space="preserve">MGS model here </w:t>
      </w:r>
      <w:r w:rsidR="0077611A" w:rsidRPr="002377CF">
        <w:rPr>
          <w:rFonts w:asciiTheme="majorHAnsi" w:hAnsiTheme="majorHAnsi"/>
          <w:b/>
        </w:rPr>
        <w:t xml:space="preserve">proposed replaces the evaluation </w:t>
      </w:r>
      <w:r w:rsidR="002377CF" w:rsidRPr="002377CF">
        <w:rPr>
          <w:rFonts w:asciiTheme="majorHAnsi" w:hAnsiTheme="majorHAnsi"/>
          <w:b/>
        </w:rPr>
        <w:t xml:space="preserve">and collateralization </w:t>
      </w:r>
      <w:r w:rsidR="0077611A" w:rsidRPr="002377CF">
        <w:rPr>
          <w:rFonts w:asciiTheme="majorHAnsi" w:hAnsiTheme="majorHAnsi"/>
          <w:b/>
        </w:rPr>
        <w:t xml:space="preserve">of </w:t>
      </w:r>
      <w:r w:rsidR="0077611A" w:rsidRPr="002377CF">
        <w:rPr>
          <w:rFonts w:asciiTheme="majorHAnsi" w:hAnsiTheme="majorHAnsi"/>
          <w:b/>
          <w:u w:val="single"/>
        </w:rPr>
        <w:t>existing</w:t>
      </w:r>
      <w:r w:rsidR="0077611A" w:rsidRPr="002377CF">
        <w:rPr>
          <w:rFonts w:asciiTheme="majorHAnsi" w:hAnsiTheme="majorHAnsi"/>
          <w:b/>
        </w:rPr>
        <w:t xml:space="preserve"> intangible assets </w:t>
      </w:r>
      <w:r w:rsidR="002377CF" w:rsidRPr="002377CF">
        <w:rPr>
          <w:rFonts w:asciiTheme="majorHAnsi" w:hAnsiTheme="majorHAnsi"/>
          <w:b/>
        </w:rPr>
        <w:t xml:space="preserve">as the basis for credit origination for Innovative SMEs </w:t>
      </w:r>
      <w:r w:rsidR="0077611A" w:rsidRPr="002377CF">
        <w:rPr>
          <w:rFonts w:asciiTheme="majorHAnsi" w:hAnsiTheme="majorHAnsi"/>
          <w:b/>
        </w:rPr>
        <w:t xml:space="preserve">with the evaluation </w:t>
      </w:r>
      <w:r w:rsidR="002377CF" w:rsidRPr="002377CF">
        <w:rPr>
          <w:rFonts w:asciiTheme="majorHAnsi" w:hAnsiTheme="majorHAnsi"/>
          <w:b/>
        </w:rPr>
        <w:t xml:space="preserve">and collateralization </w:t>
      </w:r>
      <w:r w:rsidR="0077611A" w:rsidRPr="002377CF">
        <w:rPr>
          <w:rFonts w:asciiTheme="majorHAnsi" w:hAnsiTheme="majorHAnsi"/>
          <w:b/>
        </w:rPr>
        <w:t xml:space="preserve">of </w:t>
      </w:r>
      <w:r w:rsidR="0077611A" w:rsidRPr="002377CF">
        <w:rPr>
          <w:rFonts w:asciiTheme="majorHAnsi" w:hAnsiTheme="majorHAnsi"/>
          <w:b/>
          <w:u w:val="single"/>
        </w:rPr>
        <w:t>future</w:t>
      </w:r>
      <w:r w:rsidR="0077611A" w:rsidRPr="002377CF">
        <w:rPr>
          <w:rFonts w:asciiTheme="majorHAnsi" w:hAnsiTheme="majorHAnsi"/>
          <w:b/>
        </w:rPr>
        <w:t xml:space="preserve"> intangible assets</w:t>
      </w:r>
      <w:r w:rsidR="002377CF" w:rsidRPr="002377CF">
        <w:rPr>
          <w:rFonts w:asciiTheme="majorHAnsi" w:hAnsiTheme="majorHAnsi"/>
          <w:b/>
        </w:rPr>
        <w:t xml:space="preserve"> as the basis for credit origination for Innovative SMEs</w:t>
      </w:r>
      <w:r w:rsidR="002377CF">
        <w:rPr>
          <w:rFonts w:asciiTheme="majorHAnsi" w:hAnsiTheme="majorHAnsi"/>
        </w:rPr>
        <w:t>.</w:t>
      </w:r>
    </w:p>
    <w:p w:rsidR="009D173F" w:rsidRDefault="00EE3C16" w:rsidP="00866367">
      <w:pPr>
        <w:pStyle w:val="Heading2"/>
      </w:pPr>
      <w:bookmarkStart w:id="5" w:name="_Toc430353390"/>
      <w:r>
        <w:lastRenderedPageBreak/>
        <w:t>Assessing the competitive landscape (potential supply)</w:t>
      </w:r>
      <w:r w:rsidR="003527F8">
        <w:t xml:space="preserve"> </w:t>
      </w:r>
      <w:r w:rsidR="00866367">
        <w:t>for financing innovative SMEs</w:t>
      </w:r>
      <w:bookmarkEnd w:id="5"/>
    </w:p>
    <w:p w:rsidR="00F34DEF" w:rsidRDefault="00EE3C16" w:rsidP="008937A8">
      <w:pPr>
        <w:spacing w:after="120"/>
        <w:rPr>
          <w:rFonts w:asciiTheme="majorHAnsi" w:hAnsiTheme="majorHAnsi"/>
        </w:rPr>
      </w:pPr>
      <w:r>
        <w:rPr>
          <w:rFonts w:asciiTheme="majorHAnsi" w:hAnsiTheme="majorHAnsi"/>
        </w:rPr>
        <w:t>Since the mid 1980’s</w:t>
      </w:r>
      <w:r w:rsidR="00FF1FCE">
        <w:rPr>
          <w:rFonts w:asciiTheme="majorHAnsi" w:hAnsiTheme="majorHAnsi"/>
        </w:rPr>
        <w:t>,</w:t>
      </w:r>
      <w:r>
        <w:rPr>
          <w:rFonts w:asciiTheme="majorHAnsi" w:hAnsiTheme="majorHAnsi"/>
        </w:rPr>
        <w:t xml:space="preserve"> financial deregulation</w:t>
      </w:r>
      <w:r w:rsidR="00F34DEF">
        <w:rPr>
          <w:rFonts w:asciiTheme="majorHAnsi" w:hAnsiTheme="majorHAnsi"/>
        </w:rPr>
        <w:t xml:space="preserve"> and technological innovation</w:t>
      </w:r>
      <w:r>
        <w:rPr>
          <w:rFonts w:asciiTheme="majorHAnsi" w:hAnsiTheme="majorHAnsi"/>
        </w:rPr>
        <w:t xml:space="preserve"> ha</w:t>
      </w:r>
      <w:r w:rsidR="00F34DEF">
        <w:rPr>
          <w:rFonts w:asciiTheme="majorHAnsi" w:hAnsiTheme="majorHAnsi"/>
        </w:rPr>
        <w:t>ve</w:t>
      </w:r>
      <w:r>
        <w:rPr>
          <w:rFonts w:asciiTheme="majorHAnsi" w:hAnsiTheme="majorHAnsi"/>
        </w:rPr>
        <w:t xml:space="preserve"> favored increased corporate and operational</w:t>
      </w:r>
      <w:r w:rsidR="00FF2BA1">
        <w:rPr>
          <w:rFonts w:asciiTheme="majorHAnsi" w:hAnsiTheme="majorHAnsi"/>
        </w:rPr>
        <w:t xml:space="preserve"> </w:t>
      </w:r>
      <w:r>
        <w:rPr>
          <w:rFonts w:asciiTheme="majorHAnsi" w:hAnsiTheme="majorHAnsi"/>
        </w:rPr>
        <w:t xml:space="preserve">concentration of </w:t>
      </w:r>
      <w:r w:rsidR="003527F8">
        <w:rPr>
          <w:rFonts w:asciiTheme="majorHAnsi" w:hAnsiTheme="majorHAnsi"/>
        </w:rPr>
        <w:t>financial institutions. As a result</w:t>
      </w:r>
      <w:r w:rsidR="00FF1FCE">
        <w:rPr>
          <w:rFonts w:asciiTheme="majorHAnsi" w:hAnsiTheme="majorHAnsi"/>
        </w:rPr>
        <w:t>,</w:t>
      </w:r>
      <w:r w:rsidR="003527F8">
        <w:rPr>
          <w:rFonts w:asciiTheme="majorHAnsi" w:hAnsiTheme="majorHAnsi"/>
        </w:rPr>
        <w:t xml:space="preserve"> </w:t>
      </w:r>
      <w:r>
        <w:rPr>
          <w:rFonts w:asciiTheme="majorHAnsi" w:hAnsiTheme="majorHAnsi"/>
        </w:rPr>
        <w:t>credit origination</w:t>
      </w:r>
      <w:r w:rsidR="003527F8">
        <w:rPr>
          <w:rFonts w:asciiTheme="majorHAnsi" w:hAnsiTheme="majorHAnsi"/>
        </w:rPr>
        <w:t xml:space="preserve"> decisions are increasingly made by larger financial institutions and far from </w:t>
      </w:r>
      <w:r w:rsidR="00DA4679">
        <w:rPr>
          <w:rFonts w:asciiTheme="majorHAnsi" w:hAnsiTheme="majorHAnsi"/>
        </w:rPr>
        <w:t xml:space="preserve">the </w:t>
      </w:r>
      <w:r w:rsidR="003527F8">
        <w:rPr>
          <w:rFonts w:asciiTheme="majorHAnsi" w:hAnsiTheme="majorHAnsi"/>
        </w:rPr>
        <w:t>borrowers’ location</w:t>
      </w:r>
      <w:r w:rsidR="00DA4679">
        <w:rPr>
          <w:rFonts w:asciiTheme="majorHAnsi" w:hAnsiTheme="majorHAnsi"/>
        </w:rPr>
        <w:t>. T</w:t>
      </w:r>
      <w:r>
        <w:rPr>
          <w:rFonts w:asciiTheme="majorHAnsi" w:hAnsiTheme="majorHAnsi"/>
        </w:rPr>
        <w:t>his is especially true for the origination of SME credit</w:t>
      </w:r>
      <w:r>
        <w:rPr>
          <w:rStyle w:val="FootnoteReference"/>
          <w:rFonts w:asciiTheme="majorHAnsi" w:hAnsiTheme="majorHAnsi"/>
        </w:rPr>
        <w:footnoteReference w:id="15"/>
      </w:r>
      <w:r>
        <w:rPr>
          <w:rFonts w:asciiTheme="majorHAnsi" w:hAnsiTheme="majorHAnsi"/>
        </w:rPr>
        <w:t xml:space="preserve">. </w:t>
      </w:r>
      <w:r w:rsidR="006C1B42">
        <w:rPr>
          <w:rFonts w:asciiTheme="majorHAnsi" w:hAnsiTheme="majorHAnsi"/>
        </w:rPr>
        <w:t>F</w:t>
      </w:r>
      <w:r>
        <w:rPr>
          <w:rFonts w:asciiTheme="majorHAnsi" w:hAnsiTheme="majorHAnsi"/>
        </w:rPr>
        <w:t>or example, in the United States regulatory changes increased the product spectrum and geographic range of commercial banks</w:t>
      </w:r>
      <w:r w:rsidR="00C50364">
        <w:rPr>
          <w:rStyle w:val="FootnoteReference"/>
          <w:rFonts w:asciiTheme="majorHAnsi" w:hAnsiTheme="majorHAnsi"/>
        </w:rPr>
        <w:footnoteReference w:id="16"/>
      </w:r>
      <w:r w:rsidR="006C1B42">
        <w:rPr>
          <w:rFonts w:asciiTheme="majorHAnsi" w:hAnsiTheme="majorHAnsi"/>
        </w:rPr>
        <w:t xml:space="preserve">. During the same time, </w:t>
      </w:r>
      <w:r w:rsidR="00C50364">
        <w:rPr>
          <w:rFonts w:asciiTheme="majorHAnsi" w:hAnsiTheme="majorHAnsi"/>
        </w:rPr>
        <w:t xml:space="preserve">the </w:t>
      </w:r>
      <w:r w:rsidR="006C1B42">
        <w:rPr>
          <w:rFonts w:asciiTheme="majorHAnsi" w:hAnsiTheme="majorHAnsi"/>
        </w:rPr>
        <w:t>increase</w:t>
      </w:r>
      <w:r w:rsidR="00DA4679">
        <w:rPr>
          <w:rFonts w:asciiTheme="majorHAnsi" w:hAnsiTheme="majorHAnsi"/>
        </w:rPr>
        <w:t>d</w:t>
      </w:r>
      <w:r w:rsidR="006C1B42">
        <w:rPr>
          <w:rFonts w:asciiTheme="majorHAnsi" w:hAnsiTheme="majorHAnsi"/>
        </w:rPr>
        <w:t xml:space="preserve"> use of ICT (</w:t>
      </w:r>
      <w:r w:rsidR="00C50364">
        <w:rPr>
          <w:rFonts w:asciiTheme="majorHAnsi" w:hAnsiTheme="majorHAnsi"/>
        </w:rPr>
        <w:t xml:space="preserve">e.g. </w:t>
      </w:r>
      <w:r w:rsidR="006C1B42">
        <w:rPr>
          <w:rFonts w:asciiTheme="majorHAnsi" w:hAnsiTheme="majorHAnsi"/>
        </w:rPr>
        <w:t xml:space="preserve">the MODEM in the latter part of the 1970’s to the diffusion of the Internet in the latter part of the 1990’s) by the financial sector allowed them to </w:t>
      </w:r>
      <w:r w:rsidR="00C50364">
        <w:rPr>
          <w:rFonts w:asciiTheme="majorHAnsi" w:hAnsiTheme="majorHAnsi"/>
        </w:rPr>
        <w:t>extend their operational geographic range</w:t>
      </w:r>
      <w:r w:rsidR="006C1B42">
        <w:rPr>
          <w:rFonts w:asciiTheme="majorHAnsi" w:hAnsiTheme="majorHAnsi"/>
        </w:rPr>
        <w:t>.</w:t>
      </w:r>
    </w:p>
    <w:p w:rsidR="006C1B42" w:rsidRDefault="00FF2BA1" w:rsidP="008937A8">
      <w:pPr>
        <w:spacing w:after="120"/>
        <w:rPr>
          <w:rFonts w:asciiTheme="majorHAnsi" w:hAnsiTheme="majorHAnsi"/>
        </w:rPr>
      </w:pPr>
      <w:r>
        <w:rPr>
          <w:rFonts w:asciiTheme="majorHAnsi" w:hAnsiTheme="majorHAnsi"/>
        </w:rPr>
        <w:t>The same ICT dissemination across the economy</w:t>
      </w:r>
      <w:r w:rsidR="00C50364">
        <w:rPr>
          <w:rFonts w:asciiTheme="majorHAnsi" w:hAnsiTheme="majorHAnsi"/>
        </w:rPr>
        <w:t>,</w:t>
      </w:r>
      <w:r>
        <w:rPr>
          <w:rFonts w:asciiTheme="majorHAnsi" w:hAnsiTheme="majorHAnsi"/>
        </w:rPr>
        <w:t xml:space="preserve"> </w:t>
      </w:r>
      <w:r w:rsidR="00C50364">
        <w:rPr>
          <w:rFonts w:asciiTheme="majorHAnsi" w:hAnsiTheme="majorHAnsi"/>
        </w:rPr>
        <w:t>and the radical increase of computers’</w:t>
      </w:r>
      <w:r w:rsidR="00F34DEF">
        <w:rPr>
          <w:rFonts w:asciiTheme="majorHAnsi" w:hAnsiTheme="majorHAnsi"/>
        </w:rPr>
        <w:t xml:space="preserve"> com</w:t>
      </w:r>
      <w:r w:rsidR="00C50364">
        <w:rPr>
          <w:rFonts w:asciiTheme="majorHAnsi" w:hAnsiTheme="majorHAnsi"/>
        </w:rPr>
        <w:t>putational capacity</w:t>
      </w:r>
      <w:r w:rsidR="00F34DEF">
        <w:rPr>
          <w:rFonts w:asciiTheme="majorHAnsi" w:hAnsiTheme="majorHAnsi"/>
        </w:rPr>
        <w:t xml:space="preserve">, </w:t>
      </w:r>
      <w:r>
        <w:rPr>
          <w:rFonts w:asciiTheme="majorHAnsi" w:hAnsiTheme="majorHAnsi"/>
        </w:rPr>
        <w:t xml:space="preserve">allowed for the increased digitization and dissemination of transactional records, which in turn gave rise to the growth of </w:t>
      </w:r>
      <w:r w:rsidRPr="008677A7">
        <w:rPr>
          <w:rFonts w:asciiTheme="majorHAnsi" w:hAnsiTheme="majorHAnsi"/>
          <w:i/>
        </w:rPr>
        <w:t>credit bureaus</w:t>
      </w:r>
      <w:r w:rsidR="00F34DEF">
        <w:rPr>
          <w:rFonts w:asciiTheme="majorHAnsi" w:hAnsiTheme="majorHAnsi"/>
        </w:rPr>
        <w:t xml:space="preserve"> and </w:t>
      </w:r>
      <w:r w:rsidR="008677A7">
        <w:rPr>
          <w:rFonts w:asciiTheme="majorHAnsi" w:hAnsiTheme="majorHAnsi"/>
          <w:i/>
        </w:rPr>
        <w:t>credit s</w:t>
      </w:r>
      <w:r w:rsidR="00F34DEF" w:rsidRPr="00F34DEF">
        <w:rPr>
          <w:rFonts w:asciiTheme="majorHAnsi" w:hAnsiTheme="majorHAnsi"/>
          <w:i/>
        </w:rPr>
        <w:t>cores</w:t>
      </w:r>
      <w:r w:rsidR="00765B3B">
        <w:rPr>
          <w:rStyle w:val="FootnoteReference"/>
          <w:rFonts w:asciiTheme="majorHAnsi" w:hAnsiTheme="majorHAnsi"/>
          <w:i/>
        </w:rPr>
        <w:footnoteReference w:id="17"/>
      </w:r>
      <w:r>
        <w:rPr>
          <w:rFonts w:asciiTheme="majorHAnsi" w:hAnsiTheme="majorHAnsi"/>
        </w:rPr>
        <w:t xml:space="preserve">. </w:t>
      </w:r>
      <w:r w:rsidR="00F34DEF">
        <w:rPr>
          <w:rFonts w:asciiTheme="majorHAnsi" w:hAnsiTheme="majorHAnsi"/>
        </w:rPr>
        <w:t xml:space="preserve">As a result, a much larger share of low-volume credit is now is based on credit scores. As a result, the use of relationship banking, where the bankers and borrowers </w:t>
      </w:r>
      <w:r w:rsidR="008677A7">
        <w:rPr>
          <w:rFonts w:asciiTheme="majorHAnsi" w:hAnsiTheme="majorHAnsi"/>
        </w:rPr>
        <w:t xml:space="preserve">lived and operated in the same community </w:t>
      </w:r>
      <w:r w:rsidR="00F34DEF">
        <w:rPr>
          <w:rFonts w:asciiTheme="majorHAnsi" w:hAnsiTheme="majorHAnsi"/>
        </w:rPr>
        <w:t>get to know each other, has become a specialized niche market</w:t>
      </w:r>
      <w:r w:rsidR="00F34DEF">
        <w:rPr>
          <w:rStyle w:val="FootnoteReference"/>
          <w:rFonts w:asciiTheme="majorHAnsi" w:hAnsiTheme="majorHAnsi"/>
        </w:rPr>
        <w:footnoteReference w:id="18"/>
      </w:r>
      <w:r w:rsidR="00F34DEF">
        <w:rPr>
          <w:rFonts w:asciiTheme="majorHAnsi" w:hAnsiTheme="majorHAnsi"/>
        </w:rPr>
        <w:t>.</w:t>
      </w:r>
      <w:r w:rsidR="00832A6E">
        <w:rPr>
          <w:rFonts w:asciiTheme="majorHAnsi" w:hAnsiTheme="majorHAnsi"/>
        </w:rPr>
        <w:t xml:space="preserve"> </w:t>
      </w:r>
      <w:r w:rsidR="00C50364">
        <w:rPr>
          <w:rFonts w:asciiTheme="majorHAnsi" w:hAnsiTheme="majorHAnsi"/>
        </w:rPr>
        <w:t>More importantly, r</w:t>
      </w:r>
      <w:r w:rsidR="00832A6E">
        <w:rPr>
          <w:rFonts w:asciiTheme="majorHAnsi" w:hAnsiTheme="majorHAnsi"/>
        </w:rPr>
        <w:t>elationship banking is the main factor differentiating MGS from other financial institutions</w:t>
      </w:r>
      <w:r w:rsidR="00035F34">
        <w:rPr>
          <w:rFonts w:asciiTheme="majorHAnsi" w:hAnsiTheme="majorHAnsi"/>
        </w:rPr>
        <w:t>, and affords it the unique capacity to lend to innovative SMEs</w:t>
      </w:r>
      <w:r w:rsidR="00832A6E">
        <w:rPr>
          <w:rFonts w:asciiTheme="majorHAnsi" w:hAnsiTheme="majorHAnsi"/>
        </w:rPr>
        <w:t>.</w:t>
      </w:r>
    </w:p>
    <w:p w:rsidR="006C1B42" w:rsidRDefault="00AE2107" w:rsidP="0058585A">
      <w:pPr>
        <w:spacing w:after="120"/>
        <w:rPr>
          <w:rFonts w:asciiTheme="majorHAnsi" w:hAnsiTheme="majorHAnsi"/>
        </w:rPr>
      </w:pPr>
      <w:r>
        <w:rPr>
          <w:rFonts w:asciiTheme="majorHAnsi" w:hAnsiTheme="majorHAnsi"/>
        </w:rPr>
        <w:t xml:space="preserve">While these historical trends </w:t>
      </w:r>
      <w:r w:rsidR="0058585A">
        <w:rPr>
          <w:rFonts w:asciiTheme="majorHAnsi" w:hAnsiTheme="majorHAnsi"/>
        </w:rPr>
        <w:t>support the expansion</w:t>
      </w:r>
      <w:r>
        <w:rPr>
          <w:rFonts w:asciiTheme="majorHAnsi" w:hAnsiTheme="majorHAnsi"/>
        </w:rPr>
        <w:t xml:space="preserve"> of MGS </w:t>
      </w:r>
      <w:r w:rsidR="0058585A">
        <w:rPr>
          <w:rFonts w:asciiTheme="majorHAnsi" w:hAnsiTheme="majorHAnsi"/>
        </w:rPr>
        <w:t>into</w:t>
      </w:r>
      <w:r>
        <w:rPr>
          <w:rFonts w:asciiTheme="majorHAnsi" w:hAnsiTheme="majorHAnsi"/>
        </w:rPr>
        <w:t xml:space="preserve"> </w:t>
      </w:r>
      <w:r w:rsidR="0058585A">
        <w:rPr>
          <w:rFonts w:asciiTheme="majorHAnsi" w:hAnsiTheme="majorHAnsi"/>
        </w:rPr>
        <w:t xml:space="preserve">market for </w:t>
      </w:r>
      <w:r>
        <w:rPr>
          <w:rFonts w:asciiTheme="majorHAnsi" w:hAnsiTheme="majorHAnsi"/>
        </w:rPr>
        <w:t xml:space="preserve">financing of Innovative SMEs space, the future relative advantage of MGS in this space </w:t>
      </w:r>
      <w:r w:rsidR="0058585A">
        <w:rPr>
          <w:rFonts w:asciiTheme="majorHAnsi" w:hAnsiTheme="majorHAnsi"/>
        </w:rPr>
        <w:t xml:space="preserve">must be considered. The question thus arises: </w:t>
      </w:r>
      <w:r>
        <w:rPr>
          <w:rFonts w:asciiTheme="majorHAnsi" w:hAnsiTheme="majorHAnsi"/>
        </w:rPr>
        <w:t>would</w:t>
      </w:r>
      <w:r w:rsidR="00035F34">
        <w:rPr>
          <w:rFonts w:asciiTheme="majorHAnsi" w:hAnsiTheme="majorHAnsi"/>
        </w:rPr>
        <w:t xml:space="preserve"> </w:t>
      </w:r>
      <w:r w:rsidR="00535903">
        <w:rPr>
          <w:rFonts w:asciiTheme="majorHAnsi" w:hAnsiTheme="majorHAnsi"/>
        </w:rPr>
        <w:t>future</w:t>
      </w:r>
      <w:r w:rsidR="00035F34">
        <w:rPr>
          <w:rFonts w:asciiTheme="majorHAnsi" w:hAnsiTheme="majorHAnsi"/>
        </w:rPr>
        <w:t xml:space="preserve"> financial </w:t>
      </w:r>
      <w:r w:rsidR="00D86FE2">
        <w:rPr>
          <w:rFonts w:asciiTheme="majorHAnsi" w:hAnsiTheme="majorHAnsi"/>
        </w:rPr>
        <w:t>innovation</w:t>
      </w:r>
      <w:r w:rsidR="0058585A">
        <w:rPr>
          <w:rFonts w:asciiTheme="majorHAnsi" w:hAnsiTheme="majorHAnsi"/>
        </w:rPr>
        <w:t xml:space="preserve"> or would </w:t>
      </w:r>
      <w:r>
        <w:rPr>
          <w:rFonts w:asciiTheme="majorHAnsi" w:hAnsiTheme="majorHAnsi"/>
        </w:rPr>
        <w:t>the recent entry</w:t>
      </w:r>
      <w:r w:rsidR="00035F34">
        <w:rPr>
          <w:rFonts w:asciiTheme="majorHAnsi" w:hAnsiTheme="majorHAnsi"/>
        </w:rPr>
        <w:t xml:space="preserve"> of technologically-cent</w:t>
      </w:r>
      <w:r>
        <w:rPr>
          <w:rFonts w:asciiTheme="majorHAnsi" w:hAnsiTheme="majorHAnsi"/>
        </w:rPr>
        <w:t>ric non-financial entities</w:t>
      </w:r>
      <w:r w:rsidR="00035F34">
        <w:rPr>
          <w:rFonts w:asciiTheme="majorHAnsi" w:hAnsiTheme="majorHAnsi"/>
        </w:rPr>
        <w:t xml:space="preserve"> </w:t>
      </w:r>
      <w:r w:rsidR="00535903">
        <w:rPr>
          <w:rFonts w:asciiTheme="majorHAnsi" w:hAnsiTheme="majorHAnsi"/>
        </w:rPr>
        <w:t xml:space="preserve">eventually </w:t>
      </w:r>
      <w:r w:rsidR="00D86FE2">
        <w:rPr>
          <w:rFonts w:asciiTheme="majorHAnsi" w:hAnsiTheme="majorHAnsi"/>
        </w:rPr>
        <w:t xml:space="preserve">displace MGS in financing </w:t>
      </w:r>
      <w:r w:rsidR="00035F34">
        <w:rPr>
          <w:rFonts w:asciiTheme="majorHAnsi" w:hAnsiTheme="majorHAnsi"/>
        </w:rPr>
        <w:t>innovative SM</w:t>
      </w:r>
      <w:r w:rsidR="0058585A">
        <w:rPr>
          <w:rFonts w:asciiTheme="majorHAnsi" w:hAnsiTheme="majorHAnsi"/>
        </w:rPr>
        <w:t>Es?</w:t>
      </w:r>
      <w:r>
        <w:rPr>
          <w:rFonts w:asciiTheme="majorHAnsi" w:hAnsiTheme="majorHAnsi"/>
        </w:rPr>
        <w:t xml:space="preserve"> An analysis of the </w:t>
      </w:r>
      <w:r w:rsidRPr="00AE2107">
        <w:rPr>
          <w:rFonts w:asciiTheme="majorHAnsi" w:hAnsiTheme="majorHAnsi"/>
          <w:i/>
        </w:rPr>
        <w:t>R</w:t>
      </w:r>
      <w:r w:rsidR="00035F34" w:rsidRPr="00AE2107">
        <w:rPr>
          <w:rFonts w:asciiTheme="majorHAnsi" w:hAnsiTheme="majorHAnsi"/>
          <w:i/>
        </w:rPr>
        <w:t xml:space="preserve">egulatory </w:t>
      </w:r>
      <w:r w:rsidRPr="00AE2107">
        <w:rPr>
          <w:rFonts w:asciiTheme="majorHAnsi" w:hAnsiTheme="majorHAnsi"/>
          <w:i/>
        </w:rPr>
        <w:t>D</w:t>
      </w:r>
      <w:r w:rsidR="00532FE2" w:rsidRPr="00AE2107">
        <w:rPr>
          <w:rFonts w:asciiTheme="majorHAnsi" w:hAnsiTheme="majorHAnsi"/>
          <w:i/>
        </w:rPr>
        <w:t>ynamics</w:t>
      </w:r>
      <w:r w:rsidR="00532FE2">
        <w:rPr>
          <w:rFonts w:asciiTheme="majorHAnsi" w:hAnsiTheme="majorHAnsi"/>
        </w:rPr>
        <w:t xml:space="preserve"> that</w:t>
      </w:r>
      <w:r w:rsidR="00535903">
        <w:rPr>
          <w:rFonts w:asciiTheme="majorHAnsi" w:hAnsiTheme="majorHAnsi"/>
        </w:rPr>
        <w:t xml:space="preserve"> </w:t>
      </w:r>
      <w:r>
        <w:rPr>
          <w:rFonts w:asciiTheme="majorHAnsi" w:hAnsiTheme="majorHAnsi"/>
        </w:rPr>
        <w:t>has been a permanent fixture</w:t>
      </w:r>
      <w:r w:rsidR="00535903">
        <w:rPr>
          <w:rFonts w:asciiTheme="majorHAnsi" w:hAnsiTheme="majorHAnsi"/>
        </w:rPr>
        <w:t xml:space="preserve"> of the regulated financial </w:t>
      </w:r>
      <w:r w:rsidR="00D86FE2">
        <w:rPr>
          <w:rFonts w:asciiTheme="majorHAnsi" w:hAnsiTheme="majorHAnsi"/>
        </w:rPr>
        <w:t>sector</w:t>
      </w:r>
      <w:r w:rsidR="0058585A">
        <w:rPr>
          <w:rFonts w:asciiTheme="majorHAnsi" w:hAnsiTheme="majorHAnsi"/>
        </w:rPr>
        <w:t>,</w:t>
      </w:r>
      <w:r w:rsidR="00535903">
        <w:rPr>
          <w:rFonts w:asciiTheme="majorHAnsi" w:hAnsiTheme="majorHAnsi"/>
        </w:rPr>
        <w:t xml:space="preserve"> and </w:t>
      </w:r>
      <w:r w:rsidR="00532FE2">
        <w:rPr>
          <w:rFonts w:asciiTheme="majorHAnsi" w:hAnsiTheme="majorHAnsi"/>
        </w:rPr>
        <w:t xml:space="preserve">an analysis </w:t>
      </w:r>
      <w:r w:rsidR="00535903">
        <w:rPr>
          <w:rFonts w:asciiTheme="majorHAnsi" w:hAnsiTheme="majorHAnsi"/>
        </w:rPr>
        <w:t>of</w:t>
      </w:r>
      <w:r w:rsidR="00035F34">
        <w:rPr>
          <w:rFonts w:asciiTheme="majorHAnsi" w:hAnsiTheme="majorHAnsi"/>
        </w:rPr>
        <w:t xml:space="preserve"> </w:t>
      </w:r>
      <w:r w:rsidR="00532FE2">
        <w:rPr>
          <w:rFonts w:asciiTheme="majorHAnsi" w:hAnsiTheme="majorHAnsi"/>
        </w:rPr>
        <w:t>the</w:t>
      </w:r>
      <w:r w:rsidR="00035F34">
        <w:rPr>
          <w:rFonts w:asciiTheme="majorHAnsi" w:hAnsiTheme="majorHAnsi"/>
        </w:rPr>
        <w:t xml:space="preserve"> </w:t>
      </w:r>
      <w:r w:rsidR="00535903">
        <w:rPr>
          <w:rFonts w:asciiTheme="majorHAnsi" w:hAnsiTheme="majorHAnsi"/>
        </w:rPr>
        <w:t xml:space="preserve">intrinsic nature of </w:t>
      </w:r>
      <w:r w:rsidR="00035F34">
        <w:rPr>
          <w:rFonts w:asciiTheme="majorHAnsi" w:hAnsiTheme="majorHAnsi"/>
        </w:rPr>
        <w:t xml:space="preserve">these new </w:t>
      </w:r>
      <w:r w:rsidR="0058585A">
        <w:rPr>
          <w:rFonts w:asciiTheme="majorHAnsi" w:hAnsiTheme="majorHAnsi"/>
        </w:rPr>
        <w:t>entries strongly indicate</w:t>
      </w:r>
      <w:r w:rsidR="00035F34">
        <w:rPr>
          <w:rFonts w:asciiTheme="majorHAnsi" w:hAnsiTheme="majorHAnsi"/>
        </w:rPr>
        <w:t xml:space="preserve"> that they have no visible advantage </w:t>
      </w:r>
      <w:r w:rsidR="00535903">
        <w:rPr>
          <w:rFonts w:asciiTheme="majorHAnsi" w:hAnsiTheme="majorHAnsi"/>
        </w:rPr>
        <w:t>to potentially displace MGS in the innovative SME space</w:t>
      </w:r>
      <w:r w:rsidR="00035F34">
        <w:rPr>
          <w:rFonts w:asciiTheme="majorHAnsi" w:hAnsiTheme="majorHAnsi"/>
        </w:rPr>
        <w:t xml:space="preserve">. </w:t>
      </w:r>
      <w:r w:rsidR="00535903">
        <w:rPr>
          <w:rFonts w:asciiTheme="majorHAnsi" w:hAnsiTheme="majorHAnsi"/>
        </w:rPr>
        <w:t xml:space="preserve">The same </w:t>
      </w:r>
      <w:r w:rsidR="0058585A">
        <w:rPr>
          <w:rFonts w:asciiTheme="majorHAnsi" w:hAnsiTheme="majorHAnsi"/>
        </w:rPr>
        <w:t>analyses also indicate</w:t>
      </w:r>
      <w:r w:rsidR="00B825DF">
        <w:rPr>
          <w:rFonts w:asciiTheme="majorHAnsi" w:hAnsiTheme="majorHAnsi"/>
        </w:rPr>
        <w:t xml:space="preserve"> that if</w:t>
      </w:r>
      <w:r w:rsidR="00035F34">
        <w:rPr>
          <w:rFonts w:asciiTheme="majorHAnsi" w:hAnsiTheme="majorHAnsi"/>
        </w:rPr>
        <w:t xml:space="preserve"> these new entrants were to develop</w:t>
      </w:r>
      <w:r w:rsidR="00535903">
        <w:rPr>
          <w:rFonts w:asciiTheme="majorHAnsi" w:hAnsiTheme="majorHAnsi"/>
        </w:rPr>
        <w:t xml:space="preserve"> any competitive advantage to the relationship-based approach of MGS, this advantage could easily be replicated or purchased</w:t>
      </w:r>
      <w:r w:rsidR="00532FE2">
        <w:rPr>
          <w:rFonts w:asciiTheme="majorHAnsi" w:hAnsiTheme="majorHAnsi"/>
        </w:rPr>
        <w:t xml:space="preserve"> by MGS</w:t>
      </w:r>
      <w:r w:rsidR="00535903">
        <w:rPr>
          <w:rFonts w:asciiTheme="majorHAnsi" w:hAnsiTheme="majorHAnsi"/>
        </w:rPr>
        <w:t>.</w:t>
      </w:r>
      <w:r w:rsidR="0058585A">
        <w:rPr>
          <w:rFonts w:asciiTheme="majorHAnsi" w:hAnsiTheme="majorHAnsi"/>
        </w:rPr>
        <w:t xml:space="preserve"> Indeed, such a development could strengthen the relative advantage of MGS in this space.</w:t>
      </w:r>
    </w:p>
    <w:p w:rsidR="00A25811" w:rsidRDefault="001B2F12" w:rsidP="00A25811">
      <w:pPr>
        <w:pStyle w:val="Heading2"/>
      </w:pPr>
      <w:bookmarkStart w:id="6" w:name="_Toc430353391"/>
      <w:r>
        <w:t>Financial Innovation and</w:t>
      </w:r>
      <w:r w:rsidR="003D2D80">
        <w:t xml:space="preserve"> Financial Regulatory D</w:t>
      </w:r>
      <w:r w:rsidR="00A25811">
        <w:t>ynamics</w:t>
      </w:r>
      <w:bookmarkEnd w:id="6"/>
    </w:p>
    <w:p w:rsidR="00866367" w:rsidRDefault="00A25811" w:rsidP="008937A8">
      <w:pPr>
        <w:spacing w:after="120"/>
        <w:rPr>
          <w:rFonts w:asciiTheme="majorHAnsi" w:hAnsiTheme="majorHAnsi"/>
        </w:rPr>
      </w:pPr>
      <w:r>
        <w:rPr>
          <w:rFonts w:asciiTheme="majorHAnsi" w:hAnsiTheme="majorHAnsi"/>
        </w:rPr>
        <w:t>Ever since the development of regulated banking</w:t>
      </w:r>
      <w:r w:rsidR="001B2F12">
        <w:rPr>
          <w:rFonts w:asciiTheme="majorHAnsi" w:hAnsiTheme="majorHAnsi"/>
        </w:rPr>
        <w:t>,</w:t>
      </w:r>
      <w:r>
        <w:rPr>
          <w:rFonts w:asciiTheme="majorHAnsi" w:hAnsiTheme="majorHAnsi"/>
        </w:rPr>
        <w:t xml:space="preserve"> financial innovation and financial</w:t>
      </w:r>
      <w:r w:rsidR="001B2F12">
        <w:rPr>
          <w:rFonts w:asciiTheme="majorHAnsi" w:hAnsiTheme="majorHAnsi"/>
        </w:rPr>
        <w:t xml:space="preserve"> regulation has exhibited a consistent</w:t>
      </w:r>
      <w:r>
        <w:rPr>
          <w:rFonts w:asciiTheme="majorHAnsi" w:hAnsiTheme="majorHAnsi"/>
        </w:rPr>
        <w:t xml:space="preserve"> dynamic, dialectic, process </w:t>
      </w:r>
      <w:r w:rsidR="001B2F12">
        <w:rPr>
          <w:rFonts w:asciiTheme="majorHAnsi" w:hAnsiTheme="majorHAnsi"/>
        </w:rPr>
        <w:t>of</w:t>
      </w:r>
      <w:r>
        <w:rPr>
          <w:rFonts w:asciiTheme="majorHAnsi" w:hAnsiTheme="majorHAnsi"/>
        </w:rPr>
        <w:t xml:space="preserve"> four </w:t>
      </w:r>
      <w:r w:rsidR="001B2F12">
        <w:rPr>
          <w:rFonts w:asciiTheme="majorHAnsi" w:hAnsiTheme="majorHAnsi"/>
        </w:rPr>
        <w:t xml:space="preserve">fundamental </w:t>
      </w:r>
      <w:r w:rsidR="00E67B1C">
        <w:rPr>
          <w:rFonts w:asciiTheme="majorHAnsi" w:hAnsiTheme="majorHAnsi"/>
        </w:rPr>
        <w:t xml:space="preserve">categorical </w:t>
      </w:r>
      <w:r>
        <w:rPr>
          <w:rFonts w:asciiTheme="majorHAnsi" w:hAnsiTheme="majorHAnsi"/>
        </w:rPr>
        <w:t>steps</w:t>
      </w:r>
      <w:r w:rsidR="00E67B1C">
        <w:rPr>
          <w:rFonts w:asciiTheme="majorHAnsi" w:hAnsiTheme="majorHAnsi"/>
        </w:rPr>
        <w:t xml:space="preserve"> (see Figure </w:t>
      </w:r>
      <w:r w:rsidR="00E67B1C" w:rsidRPr="00E67B1C">
        <w:rPr>
          <w:rFonts w:asciiTheme="majorHAnsi" w:hAnsiTheme="majorHAnsi"/>
          <w:color w:val="FF0000"/>
        </w:rPr>
        <w:t>X</w:t>
      </w:r>
      <w:r w:rsidR="00E67B1C">
        <w:rPr>
          <w:rFonts w:asciiTheme="majorHAnsi" w:hAnsiTheme="majorHAnsi"/>
        </w:rPr>
        <w:t>)</w:t>
      </w:r>
      <w:r>
        <w:rPr>
          <w:rFonts w:asciiTheme="majorHAnsi" w:hAnsiTheme="majorHAnsi"/>
        </w:rPr>
        <w:t xml:space="preserve">. </w:t>
      </w:r>
      <w:r w:rsidR="00E67B1C">
        <w:rPr>
          <w:rFonts w:asciiTheme="majorHAnsi" w:hAnsiTheme="majorHAnsi"/>
        </w:rPr>
        <w:t>In the first step, financial institutions develop products or services</w:t>
      </w:r>
      <w:r w:rsidR="00006B4D">
        <w:rPr>
          <w:rFonts w:asciiTheme="majorHAnsi" w:hAnsiTheme="majorHAnsi"/>
        </w:rPr>
        <w:t xml:space="preserve"> (innovate)</w:t>
      </w:r>
      <w:r w:rsidR="0095008D">
        <w:rPr>
          <w:rStyle w:val="FootnoteReference"/>
          <w:rFonts w:asciiTheme="majorHAnsi" w:hAnsiTheme="majorHAnsi"/>
        </w:rPr>
        <w:footnoteReference w:id="19"/>
      </w:r>
      <w:r w:rsidR="00E67B1C">
        <w:rPr>
          <w:rFonts w:asciiTheme="majorHAnsi" w:hAnsiTheme="majorHAnsi"/>
        </w:rPr>
        <w:t>. At times, this step</w:t>
      </w:r>
      <w:r w:rsidR="001B2F12">
        <w:rPr>
          <w:rFonts w:asciiTheme="majorHAnsi" w:hAnsiTheme="majorHAnsi"/>
        </w:rPr>
        <w:t xml:space="preserve"> leads to the introduction of </w:t>
      </w:r>
      <w:r w:rsidR="00E67B1C">
        <w:rPr>
          <w:rFonts w:asciiTheme="majorHAnsi" w:hAnsiTheme="majorHAnsi"/>
        </w:rPr>
        <w:t>new type</w:t>
      </w:r>
      <w:r w:rsidR="001B2F12">
        <w:rPr>
          <w:rFonts w:asciiTheme="majorHAnsi" w:hAnsiTheme="majorHAnsi"/>
        </w:rPr>
        <w:t>s</w:t>
      </w:r>
      <w:r w:rsidR="00E67B1C">
        <w:rPr>
          <w:rFonts w:asciiTheme="majorHAnsi" w:hAnsiTheme="majorHAnsi"/>
        </w:rPr>
        <w:t xml:space="preserve"> of</w:t>
      </w:r>
      <w:r w:rsidR="0095008D">
        <w:rPr>
          <w:rFonts w:asciiTheme="majorHAnsi" w:hAnsiTheme="majorHAnsi"/>
        </w:rPr>
        <w:t xml:space="preserve"> financial institution</w:t>
      </w:r>
      <w:r w:rsidR="0095008D">
        <w:rPr>
          <w:rStyle w:val="FootnoteReference"/>
          <w:rFonts w:asciiTheme="majorHAnsi" w:hAnsiTheme="majorHAnsi"/>
        </w:rPr>
        <w:footnoteReference w:id="20"/>
      </w:r>
      <w:r w:rsidR="00E67B1C">
        <w:rPr>
          <w:rFonts w:asciiTheme="majorHAnsi" w:hAnsiTheme="majorHAnsi"/>
        </w:rPr>
        <w:t>.</w:t>
      </w:r>
      <w:r w:rsidR="0095008D">
        <w:rPr>
          <w:rFonts w:asciiTheme="majorHAnsi" w:hAnsiTheme="majorHAnsi"/>
        </w:rPr>
        <w:t xml:space="preserve"> In most developed economies, regulators are given mandates to maintain a favorable economic environment, usually defined as a </w:t>
      </w:r>
      <w:r w:rsidR="0095008D">
        <w:rPr>
          <w:rFonts w:asciiTheme="majorHAnsi" w:hAnsiTheme="majorHAnsi"/>
        </w:rPr>
        <w:lastRenderedPageBreak/>
        <w:t>stable price environment and at times a stable or near full employment environment</w:t>
      </w:r>
      <w:r w:rsidR="0095008D">
        <w:rPr>
          <w:rStyle w:val="FootnoteReference"/>
          <w:rFonts w:asciiTheme="majorHAnsi" w:hAnsiTheme="majorHAnsi"/>
        </w:rPr>
        <w:footnoteReference w:id="21"/>
      </w:r>
      <w:r w:rsidR="0095008D">
        <w:rPr>
          <w:rFonts w:asciiTheme="majorHAnsi" w:hAnsiTheme="majorHAnsi"/>
        </w:rPr>
        <w:t>.</w:t>
      </w:r>
      <w:r w:rsidR="00C01798">
        <w:rPr>
          <w:rFonts w:asciiTheme="majorHAnsi" w:hAnsiTheme="majorHAnsi"/>
        </w:rPr>
        <w:t xml:space="preserve"> </w:t>
      </w:r>
      <w:r w:rsidR="001B2F12">
        <w:rPr>
          <w:rFonts w:asciiTheme="majorHAnsi" w:hAnsiTheme="majorHAnsi"/>
        </w:rPr>
        <w:t>Thus the</w:t>
      </w:r>
      <w:r w:rsidR="00AB5D9E">
        <w:rPr>
          <w:rFonts w:asciiTheme="majorHAnsi" w:hAnsiTheme="majorHAnsi"/>
        </w:rPr>
        <w:t xml:space="preserve"> second step in the process</w:t>
      </w:r>
      <w:r w:rsidR="001B2F12">
        <w:rPr>
          <w:rFonts w:asciiTheme="majorHAnsi" w:hAnsiTheme="majorHAnsi"/>
        </w:rPr>
        <w:t>: I</w:t>
      </w:r>
      <w:r w:rsidR="00AB5D9E">
        <w:rPr>
          <w:rFonts w:asciiTheme="majorHAnsi" w:hAnsiTheme="majorHAnsi"/>
        </w:rPr>
        <w:t xml:space="preserve">n order to meet their mandate, financial regulators create and impose </w:t>
      </w:r>
      <w:r w:rsidR="00AB5D9E" w:rsidRPr="00C01798">
        <w:rPr>
          <w:rFonts w:asciiTheme="majorHAnsi" w:hAnsiTheme="majorHAnsi"/>
          <w:i/>
        </w:rPr>
        <w:t>rules</w:t>
      </w:r>
      <w:r w:rsidR="00AB5D9E">
        <w:rPr>
          <w:rFonts w:asciiTheme="majorHAnsi" w:hAnsiTheme="majorHAnsi"/>
        </w:rPr>
        <w:t xml:space="preserve"> to foster </w:t>
      </w:r>
      <w:r w:rsidR="00AB5D9E" w:rsidRPr="00C01798">
        <w:rPr>
          <w:rFonts w:asciiTheme="majorHAnsi" w:hAnsiTheme="majorHAnsi"/>
          <w:i/>
        </w:rPr>
        <w:t>soundness</w:t>
      </w:r>
      <w:r w:rsidR="00AB5D9E">
        <w:rPr>
          <w:rFonts w:asciiTheme="majorHAnsi" w:hAnsiTheme="majorHAnsi"/>
        </w:rPr>
        <w:t xml:space="preserve">, </w:t>
      </w:r>
      <w:r w:rsidR="00AB5D9E" w:rsidRPr="00C01798">
        <w:rPr>
          <w:rFonts w:asciiTheme="majorHAnsi" w:hAnsiTheme="majorHAnsi"/>
          <w:i/>
        </w:rPr>
        <w:t>stability</w:t>
      </w:r>
      <w:r w:rsidR="00AB5D9E">
        <w:rPr>
          <w:rFonts w:asciiTheme="majorHAnsi" w:hAnsiTheme="majorHAnsi"/>
        </w:rPr>
        <w:t xml:space="preserve"> and </w:t>
      </w:r>
      <w:r w:rsidR="00AB5D9E" w:rsidRPr="00C01798">
        <w:rPr>
          <w:rFonts w:asciiTheme="majorHAnsi" w:hAnsiTheme="majorHAnsi"/>
          <w:i/>
        </w:rPr>
        <w:t>fairness</w:t>
      </w:r>
      <w:r w:rsidR="00AB5D9E">
        <w:rPr>
          <w:rFonts w:asciiTheme="majorHAnsi" w:hAnsiTheme="majorHAnsi"/>
        </w:rPr>
        <w:t xml:space="preserve"> in financial institutions under their domain.</w:t>
      </w:r>
      <w:r w:rsidR="00C01798">
        <w:rPr>
          <w:rStyle w:val="FootnoteReference"/>
          <w:rFonts w:asciiTheme="majorHAnsi" w:hAnsiTheme="majorHAnsi"/>
        </w:rPr>
        <w:footnoteReference w:id="22"/>
      </w:r>
      <w:r w:rsidR="00C01798">
        <w:rPr>
          <w:rFonts w:asciiTheme="majorHAnsi" w:hAnsiTheme="majorHAnsi"/>
        </w:rPr>
        <w:t>.</w:t>
      </w:r>
      <w:r w:rsidR="00AB5D9E">
        <w:rPr>
          <w:rFonts w:asciiTheme="majorHAnsi" w:hAnsiTheme="majorHAnsi"/>
        </w:rPr>
        <w:t xml:space="preserve"> </w:t>
      </w:r>
      <w:r w:rsidR="00006B4D">
        <w:rPr>
          <w:rFonts w:asciiTheme="majorHAnsi" w:hAnsiTheme="majorHAnsi"/>
        </w:rPr>
        <w:t>T</w:t>
      </w:r>
      <w:r w:rsidR="00AB5D9E">
        <w:rPr>
          <w:rFonts w:asciiTheme="majorHAnsi" w:hAnsiTheme="majorHAnsi"/>
        </w:rPr>
        <w:t>he</w:t>
      </w:r>
      <w:r w:rsidR="001B2F12">
        <w:rPr>
          <w:rFonts w:asciiTheme="majorHAnsi" w:hAnsiTheme="majorHAnsi"/>
        </w:rPr>
        <w:t>n the</w:t>
      </w:r>
      <w:r w:rsidR="00AB5D9E">
        <w:rPr>
          <w:rFonts w:asciiTheme="majorHAnsi" w:hAnsiTheme="majorHAnsi"/>
        </w:rPr>
        <w:t xml:space="preserve"> third step </w:t>
      </w:r>
      <w:r w:rsidR="001B2F12">
        <w:rPr>
          <w:rFonts w:asciiTheme="majorHAnsi" w:hAnsiTheme="majorHAnsi"/>
        </w:rPr>
        <w:t>follows</w:t>
      </w:r>
      <w:r w:rsidR="00AB5D9E">
        <w:rPr>
          <w:rFonts w:asciiTheme="majorHAnsi" w:hAnsiTheme="majorHAnsi"/>
        </w:rPr>
        <w:t xml:space="preserve"> when financial institutions </w:t>
      </w:r>
      <w:r w:rsidR="00006B4D">
        <w:rPr>
          <w:rFonts w:asciiTheme="majorHAnsi" w:hAnsiTheme="majorHAnsi"/>
        </w:rPr>
        <w:t>introduce a new round of innovation to either leverage or even bypass the regulatory framework created financial regulators.</w:t>
      </w:r>
      <w:r w:rsidR="00EB18B1">
        <w:rPr>
          <w:rFonts w:asciiTheme="majorHAnsi" w:hAnsiTheme="majorHAnsi"/>
        </w:rPr>
        <w:t xml:space="preserve"> The fourth and last logical step occurs when regulators, responding to the innovations of financial institutions, generate and impose new regulations on the new products, services or institutions to reestablish </w:t>
      </w:r>
      <w:r w:rsidR="00EB18B1" w:rsidRPr="00EB18B1">
        <w:rPr>
          <w:rFonts w:asciiTheme="majorHAnsi" w:hAnsiTheme="majorHAnsi"/>
        </w:rPr>
        <w:t>soundness, stability and fairness</w:t>
      </w:r>
      <w:r w:rsidR="00EB18B1">
        <w:rPr>
          <w:rFonts w:asciiTheme="majorHAnsi" w:hAnsiTheme="majorHAnsi"/>
        </w:rPr>
        <w:t>.</w:t>
      </w:r>
      <w:r w:rsidR="001B2F12">
        <w:rPr>
          <w:rFonts w:asciiTheme="majorHAnsi" w:hAnsiTheme="majorHAnsi"/>
        </w:rPr>
        <w:t xml:space="preserve"> Thus </w:t>
      </w:r>
      <w:r w:rsidR="006F5CE8">
        <w:rPr>
          <w:rFonts w:asciiTheme="majorHAnsi" w:hAnsiTheme="majorHAnsi"/>
        </w:rPr>
        <w:t>these steps represent a constant, rather continuous circle, were</w:t>
      </w:r>
      <w:r w:rsidR="001B2F12">
        <w:rPr>
          <w:rFonts w:asciiTheme="majorHAnsi" w:hAnsiTheme="majorHAnsi"/>
        </w:rPr>
        <w:t xml:space="preserve"> every step or full </w:t>
      </w:r>
      <w:r w:rsidR="006F5CE8">
        <w:rPr>
          <w:rFonts w:asciiTheme="majorHAnsi" w:hAnsiTheme="majorHAnsi"/>
        </w:rPr>
        <w:t>circle</w:t>
      </w:r>
      <w:r w:rsidR="001B2F12">
        <w:rPr>
          <w:rFonts w:asciiTheme="majorHAnsi" w:hAnsiTheme="majorHAnsi"/>
        </w:rPr>
        <w:t xml:space="preserve"> creates new products, or new entities. Understanding the nature of this continuity </w:t>
      </w:r>
      <w:r w:rsidR="006F5CE8">
        <w:rPr>
          <w:rFonts w:asciiTheme="majorHAnsi" w:hAnsiTheme="majorHAnsi"/>
        </w:rPr>
        <w:t xml:space="preserve">(dynamics) </w:t>
      </w:r>
      <w:r w:rsidR="001B2F12">
        <w:rPr>
          <w:rFonts w:asciiTheme="majorHAnsi" w:hAnsiTheme="majorHAnsi"/>
        </w:rPr>
        <w:t xml:space="preserve">is critical for establishing robust, comprehensive policies that </w:t>
      </w:r>
      <w:r w:rsidR="006F5CE8">
        <w:rPr>
          <w:rFonts w:asciiTheme="majorHAnsi" w:hAnsiTheme="majorHAnsi"/>
        </w:rPr>
        <w:t xml:space="preserve">determine the broad growth trajectories acceptable risks within the financial sector, which is the domain of monetary authorities. Having a detailed knowledge of existing and emerging products and entities within the financial sector is critical for the implementation and oversight of these policies, which is the domain or regulatory authorities. The interdependencies of these two facets of the Regulatory Dynamics is a dominant factor the monetary authority and regulatory authority </w:t>
      </w:r>
      <w:r w:rsidR="00B90A64">
        <w:rPr>
          <w:rFonts w:asciiTheme="majorHAnsi" w:hAnsiTheme="majorHAnsi"/>
        </w:rPr>
        <w:t>being</w:t>
      </w:r>
      <w:r w:rsidR="006F5CE8">
        <w:rPr>
          <w:rFonts w:asciiTheme="majorHAnsi" w:hAnsiTheme="majorHAnsi"/>
        </w:rPr>
        <w:t xml:space="preserve"> house</w:t>
      </w:r>
      <w:r w:rsidR="00B90A64">
        <w:rPr>
          <w:rFonts w:asciiTheme="majorHAnsi" w:hAnsiTheme="majorHAnsi"/>
        </w:rPr>
        <w:t>d</w:t>
      </w:r>
      <w:r w:rsidR="006F5CE8">
        <w:rPr>
          <w:rFonts w:asciiTheme="majorHAnsi" w:hAnsiTheme="majorHAnsi"/>
        </w:rPr>
        <w:t xml:space="preserve"> in one entity</w:t>
      </w:r>
      <w:r w:rsidR="00B90A64">
        <w:rPr>
          <w:rFonts w:asciiTheme="majorHAnsi" w:hAnsiTheme="majorHAnsi"/>
        </w:rPr>
        <w:t>,</w:t>
      </w:r>
      <w:r w:rsidR="006F5CE8">
        <w:rPr>
          <w:rFonts w:asciiTheme="majorHAnsi" w:hAnsiTheme="majorHAnsi"/>
        </w:rPr>
        <w:t xml:space="preserve"> such as the </w:t>
      </w:r>
      <w:r w:rsidR="00AB216D">
        <w:rPr>
          <w:rFonts w:asciiTheme="majorHAnsi" w:hAnsiTheme="majorHAnsi"/>
        </w:rPr>
        <w:t>Board of Governors of the Federal Reserve System in the U.S.</w:t>
      </w:r>
    </w:p>
    <w:p w:rsidR="00EB18B1" w:rsidRPr="00D93B37" w:rsidRDefault="00EB18B1" w:rsidP="00D93B37">
      <w:pPr>
        <w:rPr>
          <w:b/>
        </w:rPr>
      </w:pPr>
      <w:r w:rsidRPr="00D93B37">
        <w:rPr>
          <w:b/>
        </w:rPr>
        <w:t xml:space="preserve">Figure </w:t>
      </w:r>
      <w:r w:rsidRPr="00D93B37">
        <w:rPr>
          <w:b/>
          <w:color w:val="FF0000"/>
        </w:rPr>
        <w:t>X</w:t>
      </w:r>
      <w:r w:rsidRPr="00D93B37">
        <w:rPr>
          <w:b/>
        </w:rPr>
        <w:t>: The Regulatory Dynamics of Regulated Financial Markets</w:t>
      </w:r>
    </w:p>
    <w:p w:rsidR="00EB18B1" w:rsidRDefault="00EB18B1" w:rsidP="008937A8">
      <w:pPr>
        <w:spacing w:after="120"/>
        <w:rPr>
          <w:rFonts w:asciiTheme="majorHAnsi" w:hAnsiTheme="majorHAnsi"/>
        </w:rPr>
      </w:pPr>
      <w:r w:rsidRPr="00EB18B1">
        <w:rPr>
          <w:noProof/>
        </w:rPr>
        <w:drawing>
          <wp:inline distT="0" distB="0" distL="0" distR="0" wp14:anchorId="7B778182" wp14:editId="32B04F83">
            <wp:extent cx="4571429" cy="3428572"/>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1429" cy="3428572"/>
                    </a:xfrm>
                    <a:prstGeom prst="rect">
                      <a:avLst/>
                    </a:prstGeom>
                  </pic:spPr>
                </pic:pic>
              </a:graphicData>
            </a:graphic>
          </wp:inline>
        </w:drawing>
      </w:r>
    </w:p>
    <w:p w:rsidR="007C79A0" w:rsidRDefault="00192F68" w:rsidP="007C79A0">
      <w:pPr>
        <w:pStyle w:val="Heading2"/>
      </w:pPr>
      <w:r>
        <w:t xml:space="preserve"> </w:t>
      </w:r>
      <w:bookmarkStart w:id="7" w:name="_Toc430353392"/>
      <w:r>
        <w:t>A</w:t>
      </w:r>
      <w:r w:rsidR="00CC2F63">
        <w:t>n</w:t>
      </w:r>
      <w:r>
        <w:t xml:space="preserve"> </w:t>
      </w:r>
      <w:r w:rsidR="00C6054D">
        <w:t>a</w:t>
      </w:r>
      <w:r w:rsidR="00CC2F63">
        <w:t>nalysis</w:t>
      </w:r>
      <w:r>
        <w:t xml:space="preserve"> of</w:t>
      </w:r>
      <w:r w:rsidR="00C6054D">
        <w:t xml:space="preserve"> r</w:t>
      </w:r>
      <w:r w:rsidR="007C79A0">
        <w:t xml:space="preserve">ecent </w:t>
      </w:r>
      <w:r w:rsidR="00C6054D">
        <w:t>financial i</w:t>
      </w:r>
      <w:r w:rsidR="000B6FBA">
        <w:t>nnovation</w:t>
      </w:r>
      <w:bookmarkEnd w:id="7"/>
    </w:p>
    <w:p w:rsidR="00A53538" w:rsidRDefault="00950CC3" w:rsidP="008937A8">
      <w:pPr>
        <w:spacing w:after="120"/>
        <w:rPr>
          <w:rFonts w:asciiTheme="majorHAnsi" w:hAnsiTheme="majorHAnsi"/>
        </w:rPr>
      </w:pPr>
      <w:r>
        <w:rPr>
          <w:rFonts w:asciiTheme="majorHAnsi" w:hAnsiTheme="majorHAnsi"/>
        </w:rPr>
        <w:t>More recently, t</w:t>
      </w:r>
      <w:r w:rsidR="00240BBE">
        <w:rPr>
          <w:rFonts w:asciiTheme="majorHAnsi" w:hAnsiTheme="majorHAnsi"/>
        </w:rPr>
        <w:t>echno</w:t>
      </w:r>
      <w:r w:rsidR="00503033" w:rsidRPr="00503033">
        <w:rPr>
          <w:rFonts w:asciiTheme="majorHAnsi" w:hAnsiTheme="majorHAnsi"/>
        </w:rPr>
        <w:t xml:space="preserve">-centric firms entered the </w:t>
      </w:r>
      <w:r w:rsidRPr="00503033">
        <w:rPr>
          <w:rFonts w:asciiTheme="majorHAnsi" w:hAnsiTheme="majorHAnsi"/>
        </w:rPr>
        <w:t>unregulated</w:t>
      </w:r>
      <w:r w:rsidR="00503033" w:rsidRPr="00503033">
        <w:rPr>
          <w:rFonts w:asciiTheme="majorHAnsi" w:hAnsiTheme="majorHAnsi"/>
        </w:rPr>
        <w:t xml:space="preserve"> or lightly regulat</w:t>
      </w:r>
      <w:r w:rsidR="00503033">
        <w:rPr>
          <w:rFonts w:asciiTheme="majorHAnsi" w:hAnsiTheme="majorHAnsi"/>
        </w:rPr>
        <w:t>ed financial sector to meet the</w:t>
      </w:r>
      <w:r w:rsidR="00503033" w:rsidRPr="00503033">
        <w:rPr>
          <w:rFonts w:asciiTheme="majorHAnsi" w:hAnsiTheme="majorHAnsi"/>
        </w:rPr>
        <w:t xml:space="preserve"> </w:t>
      </w:r>
      <w:r w:rsidR="00503033">
        <w:rPr>
          <w:rFonts w:asciiTheme="majorHAnsi" w:hAnsiTheme="majorHAnsi"/>
        </w:rPr>
        <w:t xml:space="preserve">SME </w:t>
      </w:r>
      <w:r w:rsidR="00503033" w:rsidRPr="00503033">
        <w:rPr>
          <w:rFonts w:asciiTheme="majorHAnsi" w:hAnsiTheme="majorHAnsi"/>
        </w:rPr>
        <w:t>credit gap</w:t>
      </w:r>
      <w:r>
        <w:rPr>
          <w:rFonts w:asciiTheme="majorHAnsi" w:hAnsiTheme="majorHAnsi"/>
        </w:rPr>
        <w:t xml:space="preserve">. These firms manage </w:t>
      </w:r>
      <w:r w:rsidR="00240BBE">
        <w:rPr>
          <w:rFonts w:asciiTheme="majorHAnsi" w:hAnsiTheme="majorHAnsi"/>
        </w:rPr>
        <w:t>not</w:t>
      </w:r>
      <w:r>
        <w:rPr>
          <w:rFonts w:asciiTheme="majorHAnsi" w:hAnsiTheme="majorHAnsi"/>
        </w:rPr>
        <w:t xml:space="preserve"> </w:t>
      </w:r>
      <w:r w:rsidR="00A97455">
        <w:rPr>
          <w:rFonts w:asciiTheme="majorHAnsi" w:hAnsiTheme="majorHAnsi"/>
        </w:rPr>
        <w:t>falling</w:t>
      </w:r>
      <w:r>
        <w:rPr>
          <w:rFonts w:asciiTheme="majorHAnsi" w:hAnsiTheme="majorHAnsi"/>
        </w:rPr>
        <w:t xml:space="preserve"> under the domain of financial regulators </w:t>
      </w:r>
      <w:r>
        <w:rPr>
          <w:rFonts w:asciiTheme="majorHAnsi" w:hAnsiTheme="majorHAnsi"/>
        </w:rPr>
        <w:lastRenderedPageBreak/>
        <w:t xml:space="preserve">primarily by </w:t>
      </w:r>
      <w:r w:rsidR="00A97455">
        <w:rPr>
          <w:rFonts w:asciiTheme="majorHAnsi" w:hAnsiTheme="majorHAnsi"/>
        </w:rPr>
        <w:t xml:space="preserve">(1) </w:t>
      </w:r>
      <w:r>
        <w:rPr>
          <w:rFonts w:asciiTheme="majorHAnsi" w:hAnsiTheme="majorHAnsi"/>
        </w:rPr>
        <w:t xml:space="preserve">not taking </w:t>
      </w:r>
      <w:r w:rsidRPr="00A97455">
        <w:rPr>
          <w:rFonts w:asciiTheme="majorHAnsi" w:hAnsiTheme="majorHAnsi"/>
          <w:b/>
        </w:rPr>
        <w:t>savings deposits</w:t>
      </w:r>
      <w:r w:rsidR="00A97455">
        <w:rPr>
          <w:rFonts w:asciiTheme="majorHAnsi" w:hAnsiTheme="majorHAnsi"/>
        </w:rPr>
        <w:t>,</w:t>
      </w:r>
      <w:r w:rsidRPr="00A97455">
        <w:rPr>
          <w:rFonts w:asciiTheme="majorHAnsi" w:hAnsiTheme="majorHAnsi"/>
        </w:rPr>
        <w:t xml:space="preserve"> </w:t>
      </w:r>
      <w:r w:rsidR="00240BBE">
        <w:rPr>
          <w:rFonts w:asciiTheme="majorHAnsi" w:hAnsiTheme="majorHAnsi"/>
        </w:rPr>
        <w:t xml:space="preserve">(2) by </w:t>
      </w:r>
      <w:r>
        <w:rPr>
          <w:rFonts w:asciiTheme="majorHAnsi" w:hAnsiTheme="majorHAnsi"/>
        </w:rPr>
        <w:t>originating credit in such a way as not fall under the domain of financial regulators</w:t>
      </w:r>
      <w:r w:rsidR="00A97455">
        <w:rPr>
          <w:rFonts w:asciiTheme="majorHAnsi" w:hAnsiTheme="majorHAnsi"/>
        </w:rPr>
        <w:t>, (3) by not filing for a financial institution charter with financial regulators</w:t>
      </w:r>
      <w:r w:rsidR="00A97455">
        <w:rPr>
          <w:rStyle w:val="FootnoteReference"/>
          <w:rFonts w:asciiTheme="majorHAnsi" w:hAnsiTheme="majorHAnsi"/>
        </w:rPr>
        <w:footnoteReference w:id="23"/>
      </w:r>
      <w:r>
        <w:rPr>
          <w:rFonts w:asciiTheme="majorHAnsi" w:hAnsiTheme="majorHAnsi"/>
        </w:rPr>
        <w:t>.</w:t>
      </w:r>
      <w:r w:rsidR="00A4264C">
        <w:rPr>
          <w:rFonts w:asciiTheme="majorHAnsi" w:hAnsiTheme="majorHAnsi"/>
        </w:rPr>
        <w:t xml:space="preserve"> For the most part</w:t>
      </w:r>
      <w:r w:rsidR="00240BBE">
        <w:rPr>
          <w:rFonts w:asciiTheme="majorHAnsi" w:hAnsiTheme="majorHAnsi"/>
        </w:rPr>
        <w:t>, these techno</w:t>
      </w:r>
      <w:r w:rsidR="00A4264C">
        <w:rPr>
          <w:rFonts w:asciiTheme="majorHAnsi" w:hAnsiTheme="majorHAnsi"/>
        </w:rPr>
        <w:t xml:space="preserve">-centric firms entered the SME credit market by using new data-gathering methods to address the age-old challenge of the </w:t>
      </w:r>
      <w:r w:rsidR="00240BBE">
        <w:rPr>
          <w:rFonts w:asciiTheme="majorHAnsi" w:hAnsiTheme="majorHAnsi"/>
        </w:rPr>
        <w:t xml:space="preserve">information </w:t>
      </w:r>
      <w:r w:rsidR="00A4264C">
        <w:rPr>
          <w:rFonts w:asciiTheme="majorHAnsi" w:hAnsiTheme="majorHAnsi"/>
        </w:rPr>
        <w:t>asymmetry associated with SME credit origination.</w:t>
      </w:r>
    </w:p>
    <w:p w:rsidR="00D222B0" w:rsidRPr="00D93B37" w:rsidRDefault="00D222B0" w:rsidP="00D93B37">
      <w:pPr>
        <w:rPr>
          <w:b/>
        </w:rPr>
      </w:pPr>
      <w:r w:rsidRPr="00D93B37">
        <w:rPr>
          <w:b/>
        </w:rPr>
        <w:t xml:space="preserve">Figure </w:t>
      </w:r>
      <w:r w:rsidRPr="00D93B37">
        <w:rPr>
          <w:b/>
          <w:color w:val="FF0000"/>
        </w:rPr>
        <w:t>X</w:t>
      </w:r>
      <w:r w:rsidRPr="00D93B37">
        <w:rPr>
          <w:b/>
        </w:rPr>
        <w:t xml:space="preserve">: The Regulatory Dynamics </w:t>
      </w:r>
      <w:proofErr w:type="gramStart"/>
      <w:r w:rsidRPr="00D93B37">
        <w:rPr>
          <w:b/>
        </w:rPr>
        <w:t>With</w:t>
      </w:r>
      <w:proofErr w:type="gramEnd"/>
      <w:r w:rsidRPr="00D93B37">
        <w:rPr>
          <w:b/>
        </w:rPr>
        <w:t xml:space="preserve"> Techno</w:t>
      </w:r>
      <w:r w:rsidR="00E6756A">
        <w:rPr>
          <w:b/>
        </w:rPr>
        <w:t>-</w:t>
      </w:r>
      <w:r w:rsidRPr="00D93B37">
        <w:rPr>
          <w:b/>
        </w:rPr>
        <w:t>centric New Entrants</w:t>
      </w:r>
    </w:p>
    <w:p w:rsidR="00D222B0" w:rsidRDefault="0029110F" w:rsidP="008937A8">
      <w:pPr>
        <w:spacing w:after="120"/>
        <w:rPr>
          <w:rFonts w:asciiTheme="majorHAnsi" w:hAnsiTheme="majorHAnsi"/>
        </w:rPr>
      </w:pPr>
      <w:r w:rsidRPr="0029110F">
        <w:rPr>
          <w:noProof/>
        </w:rPr>
        <w:drawing>
          <wp:inline distT="0" distB="0" distL="0" distR="0" wp14:anchorId="2A1EFD30" wp14:editId="01E3DD5A">
            <wp:extent cx="4571429" cy="3428572"/>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1429" cy="3428572"/>
                    </a:xfrm>
                    <a:prstGeom prst="rect">
                      <a:avLst/>
                    </a:prstGeom>
                  </pic:spPr>
                </pic:pic>
              </a:graphicData>
            </a:graphic>
          </wp:inline>
        </w:drawing>
      </w:r>
    </w:p>
    <w:p w:rsidR="00A4264C" w:rsidRDefault="00D43E94" w:rsidP="008937A8">
      <w:pPr>
        <w:spacing w:after="120"/>
        <w:rPr>
          <w:rFonts w:asciiTheme="majorHAnsi" w:hAnsiTheme="majorHAnsi"/>
        </w:rPr>
      </w:pPr>
      <w:r>
        <w:rPr>
          <w:rFonts w:asciiTheme="majorHAnsi" w:hAnsiTheme="majorHAnsi"/>
        </w:rPr>
        <w:t xml:space="preserve">A historical analysis of </w:t>
      </w:r>
      <w:r w:rsidRPr="00D43E94">
        <w:rPr>
          <w:rFonts w:asciiTheme="majorHAnsi" w:hAnsiTheme="majorHAnsi"/>
          <w:b/>
        </w:rPr>
        <w:t xml:space="preserve">the recent entry of techno-centric firms into the financial </w:t>
      </w:r>
      <w:r w:rsidR="00DA4679">
        <w:rPr>
          <w:rFonts w:asciiTheme="majorHAnsi" w:hAnsiTheme="majorHAnsi"/>
          <w:b/>
        </w:rPr>
        <w:t xml:space="preserve">sector </w:t>
      </w:r>
      <w:r w:rsidR="00A4264C" w:rsidRPr="00D43E94">
        <w:rPr>
          <w:rFonts w:asciiTheme="majorHAnsi" w:hAnsiTheme="majorHAnsi"/>
          <w:b/>
        </w:rPr>
        <w:t xml:space="preserve">indicates that </w:t>
      </w:r>
      <w:r w:rsidRPr="00D43E94">
        <w:rPr>
          <w:rFonts w:asciiTheme="majorHAnsi" w:hAnsiTheme="majorHAnsi"/>
          <w:b/>
        </w:rPr>
        <w:t>it</w:t>
      </w:r>
      <w:r w:rsidR="00A4264C" w:rsidRPr="00D43E94">
        <w:rPr>
          <w:rFonts w:asciiTheme="majorHAnsi" w:hAnsiTheme="majorHAnsi"/>
          <w:b/>
        </w:rPr>
        <w:t xml:space="preserve"> is a continuation of the already </w:t>
      </w:r>
      <w:r w:rsidR="00537AFA" w:rsidRPr="00D43E94">
        <w:rPr>
          <w:rFonts w:asciiTheme="majorHAnsi" w:hAnsiTheme="majorHAnsi"/>
          <w:b/>
        </w:rPr>
        <w:t>well-</w:t>
      </w:r>
      <w:r w:rsidR="00A4264C" w:rsidRPr="00D43E94">
        <w:rPr>
          <w:rFonts w:asciiTheme="majorHAnsi" w:hAnsiTheme="majorHAnsi"/>
          <w:b/>
        </w:rPr>
        <w:t xml:space="preserve">established process of replacing </w:t>
      </w:r>
      <w:r w:rsidR="00B8142F" w:rsidRPr="00D43E94">
        <w:rPr>
          <w:rFonts w:asciiTheme="majorHAnsi" w:hAnsiTheme="majorHAnsi"/>
          <w:b/>
        </w:rPr>
        <w:t>credit origination</w:t>
      </w:r>
      <w:r w:rsidR="00A4264C" w:rsidRPr="00D43E94">
        <w:rPr>
          <w:rFonts w:asciiTheme="majorHAnsi" w:hAnsiTheme="majorHAnsi"/>
          <w:b/>
        </w:rPr>
        <w:t xml:space="preserve"> </w:t>
      </w:r>
      <w:r w:rsidR="00537AFA" w:rsidRPr="00D43E94">
        <w:rPr>
          <w:rFonts w:asciiTheme="majorHAnsi" w:hAnsiTheme="majorHAnsi"/>
          <w:b/>
        </w:rPr>
        <w:t xml:space="preserve">based on relationship banking </w:t>
      </w:r>
      <w:r w:rsidR="00A4264C" w:rsidRPr="00D43E94">
        <w:rPr>
          <w:rFonts w:asciiTheme="majorHAnsi" w:hAnsiTheme="majorHAnsi"/>
          <w:b/>
        </w:rPr>
        <w:t xml:space="preserve">with </w:t>
      </w:r>
      <w:r w:rsidR="00537AFA" w:rsidRPr="00D43E94">
        <w:rPr>
          <w:rFonts w:asciiTheme="majorHAnsi" w:hAnsiTheme="majorHAnsi"/>
          <w:b/>
        </w:rPr>
        <w:t xml:space="preserve">credit origination based on </w:t>
      </w:r>
      <w:r w:rsidR="00A4264C" w:rsidRPr="00D43E94">
        <w:rPr>
          <w:rFonts w:asciiTheme="majorHAnsi" w:hAnsiTheme="majorHAnsi"/>
          <w:b/>
        </w:rPr>
        <w:t xml:space="preserve">automated data </w:t>
      </w:r>
      <w:r w:rsidR="00537AFA" w:rsidRPr="00D43E94">
        <w:rPr>
          <w:rFonts w:asciiTheme="majorHAnsi" w:hAnsiTheme="majorHAnsi"/>
          <w:b/>
        </w:rPr>
        <w:t xml:space="preserve">gathering and </w:t>
      </w:r>
      <w:r w:rsidR="006C18E2" w:rsidRPr="00D43E94">
        <w:rPr>
          <w:rFonts w:asciiTheme="majorHAnsi" w:hAnsiTheme="majorHAnsi"/>
          <w:b/>
        </w:rPr>
        <w:t>processing</w:t>
      </w:r>
      <w:r w:rsidR="00A4264C">
        <w:rPr>
          <w:rFonts w:asciiTheme="majorHAnsi" w:hAnsiTheme="majorHAnsi"/>
        </w:rPr>
        <w:t xml:space="preserve">. </w:t>
      </w:r>
      <w:r w:rsidR="006C18E2">
        <w:rPr>
          <w:rFonts w:asciiTheme="majorHAnsi" w:hAnsiTheme="majorHAnsi"/>
        </w:rPr>
        <w:t>S</w:t>
      </w:r>
      <w:r w:rsidR="00BA5C89">
        <w:rPr>
          <w:rFonts w:asciiTheme="majorHAnsi" w:hAnsiTheme="majorHAnsi"/>
        </w:rPr>
        <w:t>ince the 1980’s,</w:t>
      </w:r>
      <w:r w:rsidR="00A4264C">
        <w:rPr>
          <w:rFonts w:asciiTheme="majorHAnsi" w:hAnsiTheme="majorHAnsi"/>
        </w:rPr>
        <w:t xml:space="preserve"> automated data </w:t>
      </w:r>
      <w:r w:rsidR="006C18E2">
        <w:rPr>
          <w:rFonts w:asciiTheme="majorHAnsi" w:hAnsiTheme="majorHAnsi"/>
        </w:rPr>
        <w:t>processes</w:t>
      </w:r>
      <w:r w:rsidR="00A4264C">
        <w:rPr>
          <w:rFonts w:asciiTheme="majorHAnsi" w:hAnsiTheme="majorHAnsi"/>
        </w:rPr>
        <w:t xml:space="preserve"> have indeed displaced a significant portion of </w:t>
      </w:r>
      <w:r w:rsidR="00BA5C89">
        <w:rPr>
          <w:rFonts w:asciiTheme="majorHAnsi" w:hAnsiTheme="majorHAnsi"/>
        </w:rPr>
        <w:t xml:space="preserve">SME </w:t>
      </w:r>
      <w:r w:rsidR="00B8142F">
        <w:rPr>
          <w:rFonts w:asciiTheme="majorHAnsi" w:hAnsiTheme="majorHAnsi"/>
        </w:rPr>
        <w:t>lending</w:t>
      </w:r>
      <w:r w:rsidR="00BA5C89">
        <w:rPr>
          <w:rFonts w:asciiTheme="majorHAnsi" w:hAnsiTheme="majorHAnsi"/>
        </w:rPr>
        <w:t xml:space="preserve"> based on </w:t>
      </w:r>
      <w:r w:rsidR="00B8142F">
        <w:rPr>
          <w:rFonts w:asciiTheme="majorHAnsi" w:hAnsiTheme="majorHAnsi"/>
        </w:rPr>
        <w:t>the borrower-lender relationship</w:t>
      </w:r>
      <w:r w:rsidR="00BA5C89">
        <w:rPr>
          <w:rFonts w:asciiTheme="majorHAnsi" w:hAnsiTheme="majorHAnsi"/>
        </w:rPr>
        <w:t xml:space="preserve">. </w:t>
      </w:r>
      <w:r w:rsidR="00BA5C89" w:rsidRPr="00D43E94">
        <w:rPr>
          <w:rFonts w:asciiTheme="majorHAnsi" w:hAnsiTheme="majorHAnsi"/>
          <w:b/>
        </w:rPr>
        <w:t xml:space="preserve">This development, however, is not indicative that current and future automated data </w:t>
      </w:r>
      <w:r w:rsidR="006C18E2" w:rsidRPr="00D43E94">
        <w:rPr>
          <w:rFonts w:asciiTheme="majorHAnsi" w:hAnsiTheme="majorHAnsi"/>
          <w:b/>
        </w:rPr>
        <w:t>processing</w:t>
      </w:r>
      <w:r w:rsidR="00BA5C89" w:rsidRPr="00D43E94">
        <w:rPr>
          <w:rFonts w:asciiTheme="majorHAnsi" w:hAnsiTheme="majorHAnsi"/>
          <w:b/>
        </w:rPr>
        <w:t xml:space="preserve"> methodologies will likely displace MGS in the </w:t>
      </w:r>
      <w:r w:rsidR="006C18E2" w:rsidRPr="00D43E94">
        <w:rPr>
          <w:rFonts w:asciiTheme="majorHAnsi" w:hAnsiTheme="majorHAnsi"/>
          <w:b/>
        </w:rPr>
        <w:t xml:space="preserve">credit origination of </w:t>
      </w:r>
      <w:r w:rsidR="00BA5C89" w:rsidRPr="00D43E94">
        <w:rPr>
          <w:rFonts w:asciiTheme="majorHAnsi" w:hAnsiTheme="majorHAnsi"/>
          <w:b/>
        </w:rPr>
        <w:t>innovative SME</w:t>
      </w:r>
      <w:r w:rsidR="006C18E2" w:rsidRPr="00D43E94">
        <w:rPr>
          <w:rFonts w:asciiTheme="majorHAnsi" w:hAnsiTheme="majorHAnsi"/>
          <w:b/>
        </w:rPr>
        <w:t>s</w:t>
      </w:r>
      <w:r w:rsidR="00BA5C89">
        <w:rPr>
          <w:rFonts w:asciiTheme="majorHAnsi" w:hAnsiTheme="majorHAnsi"/>
        </w:rPr>
        <w:t>.</w:t>
      </w:r>
      <w:r w:rsidR="00B8142F">
        <w:rPr>
          <w:rFonts w:asciiTheme="majorHAnsi" w:hAnsiTheme="majorHAnsi"/>
        </w:rPr>
        <w:t xml:space="preserve"> This rather counterintuitive assertion is based on the observation that </w:t>
      </w:r>
      <w:r w:rsidR="00B8142F" w:rsidRPr="00D43E94">
        <w:rPr>
          <w:rFonts w:asciiTheme="majorHAnsi" w:hAnsiTheme="majorHAnsi"/>
          <w:b/>
        </w:rPr>
        <w:t xml:space="preserve">automated data </w:t>
      </w:r>
      <w:r w:rsidR="00EE4FC9" w:rsidRPr="00D43E94">
        <w:rPr>
          <w:rFonts w:asciiTheme="majorHAnsi" w:hAnsiTheme="majorHAnsi"/>
          <w:b/>
        </w:rPr>
        <w:t>processing</w:t>
      </w:r>
      <w:r w:rsidR="00B8142F" w:rsidRPr="00D43E94">
        <w:rPr>
          <w:rFonts w:asciiTheme="majorHAnsi" w:hAnsiTheme="majorHAnsi"/>
          <w:b/>
        </w:rPr>
        <w:t xml:space="preserve"> methodologies replace</w:t>
      </w:r>
      <w:r w:rsidR="00192F68" w:rsidRPr="00D43E94">
        <w:rPr>
          <w:rFonts w:asciiTheme="majorHAnsi" w:hAnsiTheme="majorHAnsi"/>
          <w:b/>
        </w:rPr>
        <w:t>d</w:t>
      </w:r>
      <w:r w:rsidRPr="00D43E94">
        <w:rPr>
          <w:rFonts w:asciiTheme="majorHAnsi" w:hAnsiTheme="majorHAnsi"/>
          <w:b/>
        </w:rPr>
        <w:t xml:space="preserve"> </w:t>
      </w:r>
      <w:r w:rsidRPr="00D43E94">
        <w:rPr>
          <w:rFonts w:asciiTheme="majorHAnsi" w:hAnsiTheme="majorHAnsi"/>
          <w:b/>
          <w:u w:val="single"/>
        </w:rPr>
        <w:t>only</w:t>
      </w:r>
      <w:r w:rsidRPr="00D43E94">
        <w:rPr>
          <w:rFonts w:asciiTheme="majorHAnsi" w:hAnsiTheme="majorHAnsi"/>
          <w:b/>
        </w:rPr>
        <w:t xml:space="preserve"> </w:t>
      </w:r>
      <w:r w:rsidR="00B8142F" w:rsidRPr="00D43E94">
        <w:rPr>
          <w:rFonts w:asciiTheme="majorHAnsi" w:hAnsiTheme="majorHAnsi"/>
          <w:b/>
        </w:rPr>
        <w:t>standard</w:t>
      </w:r>
      <w:r w:rsidR="00EE4FC9" w:rsidRPr="00D43E94">
        <w:rPr>
          <w:rFonts w:asciiTheme="majorHAnsi" w:hAnsiTheme="majorHAnsi"/>
          <w:b/>
        </w:rPr>
        <w:t>ized</w:t>
      </w:r>
      <w:r w:rsidR="00B8142F" w:rsidRPr="00D43E94">
        <w:rPr>
          <w:rFonts w:asciiTheme="majorHAnsi" w:hAnsiTheme="majorHAnsi"/>
          <w:b/>
        </w:rPr>
        <w:t xml:space="preserve"> </w:t>
      </w:r>
      <w:r w:rsidRPr="00D43E94">
        <w:rPr>
          <w:rFonts w:asciiTheme="majorHAnsi" w:hAnsiTheme="majorHAnsi"/>
          <w:b/>
        </w:rPr>
        <w:t xml:space="preserve">SME </w:t>
      </w:r>
      <w:r w:rsidR="00B8142F" w:rsidRPr="00D43E94">
        <w:rPr>
          <w:rFonts w:asciiTheme="majorHAnsi" w:hAnsiTheme="majorHAnsi"/>
          <w:b/>
        </w:rPr>
        <w:t xml:space="preserve">credit products. A defining characteristic of financing </w:t>
      </w:r>
      <w:r w:rsidR="00EE4FC9" w:rsidRPr="00D43E94">
        <w:rPr>
          <w:rFonts w:asciiTheme="majorHAnsi" w:hAnsiTheme="majorHAnsi"/>
          <w:b/>
        </w:rPr>
        <w:t xml:space="preserve">Innovative </w:t>
      </w:r>
      <w:r w:rsidR="00B8142F" w:rsidRPr="00D43E94">
        <w:rPr>
          <w:rFonts w:asciiTheme="majorHAnsi" w:hAnsiTheme="majorHAnsi"/>
          <w:b/>
        </w:rPr>
        <w:t>SME is that it requires specific skills and knowledge</w:t>
      </w:r>
      <w:r w:rsidR="00192F68" w:rsidRPr="00D43E94">
        <w:rPr>
          <w:rFonts w:asciiTheme="majorHAnsi" w:hAnsiTheme="majorHAnsi"/>
          <w:b/>
        </w:rPr>
        <w:t xml:space="preserve"> t</w:t>
      </w:r>
      <w:r w:rsidR="00EE4FC9" w:rsidRPr="00D43E94">
        <w:rPr>
          <w:rFonts w:asciiTheme="majorHAnsi" w:hAnsiTheme="majorHAnsi"/>
          <w:b/>
        </w:rPr>
        <w:t>hat is difficult to automate, replicate,</w:t>
      </w:r>
      <w:r w:rsidR="00192F68" w:rsidRPr="00D43E94">
        <w:rPr>
          <w:rFonts w:asciiTheme="majorHAnsi" w:hAnsiTheme="majorHAnsi"/>
          <w:b/>
        </w:rPr>
        <w:t xml:space="preserve"> </w:t>
      </w:r>
      <w:r w:rsidR="00EE4FC9" w:rsidRPr="00D43E94">
        <w:rPr>
          <w:rFonts w:asciiTheme="majorHAnsi" w:hAnsiTheme="majorHAnsi"/>
          <w:b/>
        </w:rPr>
        <w:t xml:space="preserve">or </w:t>
      </w:r>
      <w:r w:rsidR="00192F68" w:rsidRPr="00D43E94">
        <w:rPr>
          <w:rFonts w:asciiTheme="majorHAnsi" w:hAnsiTheme="majorHAnsi"/>
          <w:b/>
        </w:rPr>
        <w:t>substitute</w:t>
      </w:r>
      <w:r>
        <w:rPr>
          <w:rFonts w:asciiTheme="majorHAnsi" w:hAnsiTheme="majorHAnsi"/>
          <w:b/>
        </w:rPr>
        <w:t>, and is thus not likely to be replaced by automated processes</w:t>
      </w:r>
      <w:r w:rsidR="00B8142F">
        <w:rPr>
          <w:rFonts w:asciiTheme="majorHAnsi" w:hAnsiTheme="majorHAnsi"/>
        </w:rPr>
        <w:t>.</w:t>
      </w:r>
    </w:p>
    <w:p w:rsidR="000B6FBA" w:rsidRPr="00503033" w:rsidRDefault="00BE6DD8" w:rsidP="00503033">
      <w:pPr>
        <w:spacing w:after="120"/>
        <w:rPr>
          <w:rFonts w:asciiTheme="majorHAnsi" w:hAnsiTheme="majorHAnsi"/>
        </w:rPr>
      </w:pPr>
      <w:r>
        <w:rPr>
          <w:rFonts w:asciiTheme="majorHAnsi" w:hAnsiTheme="majorHAnsi"/>
        </w:rPr>
        <w:t>T</w:t>
      </w:r>
      <w:r w:rsidR="00192F68">
        <w:rPr>
          <w:rFonts w:asciiTheme="majorHAnsi" w:hAnsiTheme="majorHAnsi"/>
        </w:rPr>
        <w:t xml:space="preserve">he origination of SME credit </w:t>
      </w:r>
      <w:r>
        <w:rPr>
          <w:rFonts w:asciiTheme="majorHAnsi" w:hAnsiTheme="majorHAnsi"/>
        </w:rPr>
        <w:t>has historically been</w:t>
      </w:r>
      <w:r w:rsidR="00192F68">
        <w:rPr>
          <w:rFonts w:asciiTheme="majorHAnsi" w:hAnsiTheme="majorHAnsi"/>
        </w:rPr>
        <w:t xml:space="preserve"> based on (a) the information gathered via the borrower-lender r</w:t>
      </w:r>
      <w:r w:rsidR="00503033" w:rsidRPr="00503033">
        <w:rPr>
          <w:rFonts w:asciiTheme="majorHAnsi" w:hAnsiTheme="majorHAnsi"/>
        </w:rPr>
        <w:t>elationship</w:t>
      </w:r>
      <w:r w:rsidR="00192F68">
        <w:rPr>
          <w:rFonts w:asciiTheme="majorHAnsi" w:hAnsiTheme="majorHAnsi"/>
        </w:rPr>
        <w:t xml:space="preserve">, and (b) the information gathered via the borrower financial and </w:t>
      </w:r>
      <w:r w:rsidR="00765B3B">
        <w:rPr>
          <w:rFonts w:asciiTheme="majorHAnsi" w:hAnsiTheme="majorHAnsi"/>
        </w:rPr>
        <w:t>possibly</w:t>
      </w:r>
      <w:r w:rsidR="00192F68">
        <w:rPr>
          <w:rFonts w:asciiTheme="majorHAnsi" w:hAnsiTheme="majorHAnsi"/>
        </w:rPr>
        <w:t xml:space="preserve"> operational records. </w:t>
      </w:r>
      <w:r>
        <w:rPr>
          <w:rFonts w:asciiTheme="majorHAnsi" w:hAnsiTheme="majorHAnsi"/>
        </w:rPr>
        <w:t>B</w:t>
      </w:r>
      <w:r w:rsidR="00192F68">
        <w:rPr>
          <w:rFonts w:asciiTheme="majorHAnsi" w:hAnsiTheme="majorHAnsi"/>
        </w:rPr>
        <w:t xml:space="preserve">orrowers would </w:t>
      </w:r>
      <w:r>
        <w:rPr>
          <w:rFonts w:asciiTheme="majorHAnsi" w:hAnsiTheme="majorHAnsi"/>
        </w:rPr>
        <w:t xml:space="preserve">often </w:t>
      </w:r>
      <w:r w:rsidR="00192F68">
        <w:rPr>
          <w:rFonts w:asciiTheme="majorHAnsi" w:hAnsiTheme="majorHAnsi"/>
        </w:rPr>
        <w:t xml:space="preserve">establish depository accounts at financial </w:t>
      </w:r>
      <w:r w:rsidR="00192F68">
        <w:rPr>
          <w:rFonts w:asciiTheme="majorHAnsi" w:hAnsiTheme="majorHAnsi"/>
        </w:rPr>
        <w:lastRenderedPageBreak/>
        <w:t xml:space="preserve">institutions, and loan officers would </w:t>
      </w:r>
      <w:r>
        <w:rPr>
          <w:rFonts w:asciiTheme="majorHAnsi" w:hAnsiTheme="majorHAnsi"/>
        </w:rPr>
        <w:t xml:space="preserve">often </w:t>
      </w:r>
      <w:r w:rsidR="00192F68">
        <w:rPr>
          <w:rFonts w:asciiTheme="majorHAnsi" w:hAnsiTheme="majorHAnsi"/>
        </w:rPr>
        <w:t>operate and live in the same social and economic community as the borrower. This process generated not only general information about the borrowing individual, but would also generate general information about the borrowing business and its markets.</w:t>
      </w:r>
      <w:r w:rsidR="00627CAC">
        <w:rPr>
          <w:rFonts w:asciiTheme="majorHAnsi" w:hAnsiTheme="majorHAnsi"/>
        </w:rPr>
        <w:t xml:space="preserve"> </w:t>
      </w:r>
      <w:r w:rsidR="00765B3B">
        <w:rPr>
          <w:rFonts w:asciiTheme="majorHAnsi" w:hAnsiTheme="majorHAnsi"/>
        </w:rPr>
        <w:t>U</w:t>
      </w:r>
      <w:r w:rsidR="00627CAC">
        <w:rPr>
          <w:rFonts w:asciiTheme="majorHAnsi" w:hAnsiTheme="majorHAnsi"/>
        </w:rPr>
        <w:t xml:space="preserve">pon </w:t>
      </w:r>
      <w:r w:rsidR="00765B3B">
        <w:rPr>
          <w:rFonts w:asciiTheme="majorHAnsi" w:hAnsiTheme="majorHAnsi"/>
        </w:rPr>
        <w:t xml:space="preserve">a loan application, the loan office would obtain financial and possibly operational records from the borrowing individual and </w:t>
      </w:r>
      <w:r>
        <w:rPr>
          <w:rFonts w:asciiTheme="majorHAnsi" w:hAnsiTheme="majorHAnsi"/>
        </w:rPr>
        <w:t xml:space="preserve">the </w:t>
      </w:r>
      <w:r w:rsidR="00765B3B">
        <w:rPr>
          <w:rFonts w:asciiTheme="majorHAnsi" w:hAnsiTheme="majorHAnsi"/>
        </w:rPr>
        <w:t>borrowing business. Thus</w:t>
      </w:r>
      <w:r>
        <w:rPr>
          <w:rFonts w:asciiTheme="majorHAnsi" w:hAnsiTheme="majorHAnsi"/>
        </w:rPr>
        <w:t>,</w:t>
      </w:r>
      <w:r w:rsidR="00765B3B">
        <w:rPr>
          <w:rFonts w:asciiTheme="majorHAnsi" w:hAnsiTheme="majorHAnsi"/>
        </w:rPr>
        <w:t xml:space="preserve"> credit origination based on this form of </w:t>
      </w:r>
      <w:r w:rsidR="00765B3B" w:rsidRPr="00AE5CD6">
        <w:rPr>
          <w:rFonts w:asciiTheme="majorHAnsi" w:hAnsiTheme="majorHAnsi"/>
        </w:rPr>
        <w:t xml:space="preserve">the borrower-lender relationship is based on a </w:t>
      </w:r>
      <w:r w:rsidR="00765B3B" w:rsidRPr="00AE5CD6">
        <w:rPr>
          <w:rFonts w:asciiTheme="majorHAnsi" w:hAnsiTheme="majorHAnsi"/>
          <w:b/>
        </w:rPr>
        <w:t>direct</w:t>
      </w:r>
      <w:r w:rsidR="00AE5CD6">
        <w:rPr>
          <w:rFonts w:asciiTheme="majorHAnsi" w:hAnsiTheme="majorHAnsi"/>
          <w:b/>
        </w:rPr>
        <w:t>, manual,</w:t>
      </w:r>
      <w:r w:rsidR="00765B3B" w:rsidRPr="00AE5CD6">
        <w:rPr>
          <w:rFonts w:asciiTheme="majorHAnsi" w:hAnsiTheme="majorHAnsi"/>
          <w:b/>
        </w:rPr>
        <w:t xml:space="preserve"> and retail data gathering</w:t>
      </w:r>
      <w:r w:rsidR="00765B3B" w:rsidRPr="00AE5CD6">
        <w:rPr>
          <w:rFonts w:asciiTheme="majorHAnsi" w:hAnsiTheme="majorHAnsi"/>
        </w:rPr>
        <w:t xml:space="preserve"> </w:t>
      </w:r>
      <w:r w:rsidR="00AE5CD6" w:rsidRPr="00AE5CD6">
        <w:rPr>
          <w:rFonts w:asciiTheme="majorHAnsi" w:hAnsiTheme="majorHAnsi"/>
        </w:rPr>
        <w:t>method</w:t>
      </w:r>
      <w:r w:rsidR="00765B3B" w:rsidRPr="00AE5CD6">
        <w:rPr>
          <w:rFonts w:asciiTheme="majorHAnsi" w:hAnsiTheme="majorHAnsi"/>
        </w:rPr>
        <w:t>.</w:t>
      </w:r>
      <w:r w:rsidR="000B6FBA">
        <w:rPr>
          <w:rFonts w:asciiTheme="majorHAnsi" w:hAnsiTheme="majorHAnsi"/>
        </w:rPr>
        <w:t xml:space="preserve"> These </w:t>
      </w:r>
      <w:r>
        <w:rPr>
          <w:rFonts w:asciiTheme="majorHAnsi" w:hAnsiTheme="majorHAnsi"/>
        </w:rPr>
        <w:t>lenders</w:t>
      </w:r>
      <w:r w:rsidR="000B6FBA">
        <w:rPr>
          <w:rFonts w:asciiTheme="majorHAnsi" w:hAnsiTheme="majorHAnsi"/>
        </w:rPr>
        <w:t>, for the most part, were regulated, depository institutions that raised their funds from individual</w:t>
      </w:r>
      <w:r>
        <w:rPr>
          <w:rFonts w:asciiTheme="majorHAnsi" w:hAnsiTheme="majorHAnsi"/>
        </w:rPr>
        <w:t xml:space="preserve"> savers, as such they employed</w:t>
      </w:r>
      <w:r w:rsidR="000B6FBA">
        <w:rPr>
          <w:rFonts w:asciiTheme="majorHAnsi" w:hAnsiTheme="majorHAnsi"/>
        </w:rPr>
        <w:t xml:space="preserve"> </w:t>
      </w:r>
      <w:r w:rsidR="000B6FBA" w:rsidRPr="00D518D4">
        <w:rPr>
          <w:rFonts w:asciiTheme="majorHAnsi" w:hAnsiTheme="majorHAnsi"/>
          <w:b/>
        </w:rPr>
        <w:t>retail fund</w:t>
      </w:r>
      <w:r>
        <w:rPr>
          <w:rFonts w:asciiTheme="majorHAnsi" w:hAnsiTheme="majorHAnsi"/>
          <w:b/>
        </w:rPr>
        <w:t>-</w:t>
      </w:r>
      <w:r w:rsidR="000B6FBA" w:rsidRPr="00D518D4">
        <w:rPr>
          <w:rFonts w:asciiTheme="majorHAnsi" w:hAnsiTheme="majorHAnsi"/>
          <w:b/>
        </w:rPr>
        <w:t xml:space="preserve">gathering </w:t>
      </w:r>
      <w:r w:rsidR="00D518D4" w:rsidRPr="00D518D4">
        <w:rPr>
          <w:rFonts w:asciiTheme="majorHAnsi" w:hAnsiTheme="majorHAnsi"/>
          <w:b/>
        </w:rPr>
        <w:t>methods</w:t>
      </w:r>
      <w:r w:rsidR="000B6FBA">
        <w:rPr>
          <w:rFonts w:asciiTheme="majorHAnsi" w:hAnsiTheme="majorHAnsi"/>
        </w:rPr>
        <w:t xml:space="preserve">. These </w:t>
      </w:r>
      <w:r w:rsidR="00E73AED">
        <w:rPr>
          <w:rFonts w:asciiTheme="majorHAnsi" w:hAnsiTheme="majorHAnsi"/>
        </w:rPr>
        <w:t>entities i</w:t>
      </w:r>
      <w:r w:rsidR="000B6FBA">
        <w:rPr>
          <w:rFonts w:asciiTheme="majorHAnsi" w:hAnsiTheme="majorHAnsi"/>
        </w:rPr>
        <w:t>ncluded commercial banks, credit unions, and MGS.</w:t>
      </w:r>
    </w:p>
    <w:p w:rsidR="00AE5CD6" w:rsidRDefault="00BE6DD8" w:rsidP="00503033">
      <w:pPr>
        <w:spacing w:after="120"/>
        <w:rPr>
          <w:rFonts w:asciiTheme="majorHAnsi" w:hAnsiTheme="majorHAnsi"/>
        </w:rPr>
      </w:pPr>
      <w:r>
        <w:rPr>
          <w:rFonts w:asciiTheme="majorHAnsi" w:hAnsiTheme="majorHAnsi"/>
        </w:rPr>
        <w:t>During the 1970’s these</w:t>
      </w:r>
      <w:r w:rsidR="00765B3B">
        <w:rPr>
          <w:rFonts w:asciiTheme="majorHAnsi" w:hAnsiTheme="majorHAnsi"/>
        </w:rPr>
        <w:t xml:space="preserve"> </w:t>
      </w:r>
      <w:r w:rsidR="00AE5CD6" w:rsidRPr="00AE5CD6">
        <w:rPr>
          <w:rFonts w:asciiTheme="majorHAnsi" w:hAnsiTheme="majorHAnsi"/>
        </w:rPr>
        <w:t>direct and retail</w:t>
      </w:r>
      <w:r w:rsidR="00AE5CD6">
        <w:rPr>
          <w:rFonts w:asciiTheme="majorHAnsi" w:hAnsiTheme="majorHAnsi"/>
        </w:rPr>
        <w:t>-based</w:t>
      </w:r>
      <w:r w:rsidR="00AE5CD6" w:rsidRPr="00AE5CD6">
        <w:rPr>
          <w:rFonts w:asciiTheme="majorHAnsi" w:hAnsiTheme="majorHAnsi"/>
        </w:rPr>
        <w:t xml:space="preserve"> </w:t>
      </w:r>
      <w:r w:rsidR="00AE5CD6">
        <w:rPr>
          <w:rFonts w:asciiTheme="majorHAnsi" w:hAnsiTheme="majorHAnsi"/>
        </w:rPr>
        <w:t>method</w:t>
      </w:r>
      <w:r>
        <w:rPr>
          <w:rFonts w:asciiTheme="majorHAnsi" w:hAnsiTheme="majorHAnsi"/>
        </w:rPr>
        <w:t>s</w:t>
      </w:r>
      <w:r w:rsidR="00AE5CD6">
        <w:rPr>
          <w:rFonts w:asciiTheme="majorHAnsi" w:hAnsiTheme="majorHAnsi"/>
        </w:rPr>
        <w:t xml:space="preserve"> </w:t>
      </w:r>
      <w:r w:rsidR="00765B3B">
        <w:rPr>
          <w:rFonts w:asciiTheme="majorHAnsi" w:hAnsiTheme="majorHAnsi"/>
        </w:rPr>
        <w:t xml:space="preserve">began to be replaced </w:t>
      </w:r>
      <w:r w:rsidR="00AE5CD6">
        <w:rPr>
          <w:rFonts w:asciiTheme="majorHAnsi" w:hAnsiTheme="majorHAnsi"/>
        </w:rPr>
        <w:t xml:space="preserve">by the </w:t>
      </w:r>
      <w:r w:rsidR="00AE5CD6" w:rsidRPr="00AE5CD6">
        <w:rPr>
          <w:rFonts w:asciiTheme="majorHAnsi" w:hAnsiTheme="majorHAnsi"/>
          <w:b/>
        </w:rPr>
        <w:t>indirect, automated and wholesale</w:t>
      </w:r>
      <w:r w:rsidR="00AE5CD6">
        <w:rPr>
          <w:rFonts w:asciiTheme="majorHAnsi" w:hAnsiTheme="majorHAnsi"/>
        </w:rPr>
        <w:t xml:space="preserve"> method</w:t>
      </w:r>
      <w:r>
        <w:rPr>
          <w:rFonts w:asciiTheme="majorHAnsi" w:hAnsiTheme="majorHAnsi"/>
        </w:rPr>
        <w:t>s</w:t>
      </w:r>
      <w:r w:rsidR="00AE5CD6">
        <w:rPr>
          <w:rFonts w:asciiTheme="majorHAnsi" w:hAnsiTheme="majorHAnsi"/>
        </w:rPr>
        <w:t xml:space="preserve"> employed by Credit Bureaus and </w:t>
      </w:r>
      <w:r>
        <w:rPr>
          <w:rFonts w:asciiTheme="majorHAnsi" w:hAnsiTheme="majorHAnsi"/>
        </w:rPr>
        <w:t xml:space="preserve">based on </w:t>
      </w:r>
      <w:r w:rsidR="00AE5CD6">
        <w:rPr>
          <w:rFonts w:asciiTheme="majorHAnsi" w:hAnsiTheme="majorHAnsi"/>
        </w:rPr>
        <w:t>credit scoring</w:t>
      </w:r>
      <w:r w:rsidR="00503033" w:rsidRPr="00503033">
        <w:rPr>
          <w:rFonts w:asciiTheme="majorHAnsi" w:hAnsiTheme="majorHAnsi"/>
        </w:rPr>
        <w:t xml:space="preserve">. </w:t>
      </w:r>
      <w:r w:rsidR="00AE5CD6">
        <w:rPr>
          <w:rFonts w:asciiTheme="majorHAnsi" w:hAnsiTheme="majorHAnsi"/>
        </w:rPr>
        <w:t xml:space="preserve">Both credit bureaus and credit scoring use </w:t>
      </w:r>
      <w:r w:rsidR="006537FB">
        <w:rPr>
          <w:rFonts w:asciiTheme="majorHAnsi" w:hAnsiTheme="majorHAnsi"/>
        </w:rPr>
        <w:t xml:space="preserve">information gathered from </w:t>
      </w:r>
      <w:r w:rsidR="00AE5CD6">
        <w:rPr>
          <w:rFonts w:asciiTheme="majorHAnsi" w:hAnsiTheme="majorHAnsi"/>
        </w:rPr>
        <w:t xml:space="preserve">publically available records generated </w:t>
      </w:r>
      <w:r w:rsidR="006537FB">
        <w:rPr>
          <w:rFonts w:asciiTheme="majorHAnsi" w:hAnsiTheme="majorHAnsi"/>
        </w:rPr>
        <w:t xml:space="preserve">by </w:t>
      </w:r>
      <w:r w:rsidR="00AE5CD6">
        <w:rPr>
          <w:rFonts w:asciiTheme="majorHAnsi" w:hAnsiTheme="majorHAnsi"/>
        </w:rPr>
        <w:t xml:space="preserve">local and national governments, and augment this information with privately held </w:t>
      </w:r>
      <w:r>
        <w:rPr>
          <w:rFonts w:asciiTheme="majorHAnsi" w:hAnsiTheme="majorHAnsi"/>
        </w:rPr>
        <w:t xml:space="preserve">transactional-level </w:t>
      </w:r>
      <w:r w:rsidR="00AE5CD6">
        <w:rPr>
          <w:rFonts w:asciiTheme="majorHAnsi" w:hAnsiTheme="majorHAnsi"/>
        </w:rPr>
        <w:t>information, that is made available for sale</w:t>
      </w:r>
      <w:r w:rsidR="002510AA">
        <w:rPr>
          <w:rStyle w:val="FootnoteReference"/>
          <w:rFonts w:asciiTheme="majorHAnsi" w:hAnsiTheme="majorHAnsi"/>
        </w:rPr>
        <w:footnoteReference w:id="24"/>
      </w:r>
      <w:r w:rsidR="00AE5CD6">
        <w:rPr>
          <w:rFonts w:asciiTheme="majorHAnsi" w:hAnsiTheme="majorHAnsi"/>
        </w:rPr>
        <w:t>.</w:t>
      </w:r>
      <w:r w:rsidR="00E73AED">
        <w:rPr>
          <w:rFonts w:asciiTheme="majorHAnsi" w:hAnsiTheme="majorHAnsi"/>
        </w:rPr>
        <w:t xml:space="preserve"> </w:t>
      </w:r>
      <w:r w:rsidR="00D518D4">
        <w:rPr>
          <w:rFonts w:asciiTheme="majorHAnsi" w:hAnsiTheme="majorHAnsi"/>
        </w:rPr>
        <w:t>At the same time financial deregulations and technological innovations allowed the development of large</w:t>
      </w:r>
      <w:r>
        <w:rPr>
          <w:rFonts w:asciiTheme="majorHAnsi" w:hAnsiTheme="majorHAnsi"/>
        </w:rPr>
        <w:t>,</w:t>
      </w:r>
      <w:r w:rsidR="00D518D4">
        <w:rPr>
          <w:rFonts w:asciiTheme="majorHAnsi" w:hAnsiTheme="majorHAnsi"/>
        </w:rPr>
        <w:t xml:space="preserve"> but regulated non-depository institutions that</w:t>
      </w:r>
      <w:r>
        <w:rPr>
          <w:rFonts w:asciiTheme="majorHAnsi" w:hAnsiTheme="majorHAnsi"/>
        </w:rPr>
        <w:t>,</w:t>
      </w:r>
      <w:r w:rsidR="00D518D4">
        <w:rPr>
          <w:rFonts w:asciiTheme="majorHAnsi" w:hAnsiTheme="majorHAnsi"/>
        </w:rPr>
        <w:t xml:space="preserve"> to </w:t>
      </w:r>
      <w:r>
        <w:rPr>
          <w:rFonts w:asciiTheme="majorHAnsi" w:hAnsiTheme="majorHAnsi"/>
        </w:rPr>
        <w:t xml:space="preserve">a large </w:t>
      </w:r>
      <w:r w:rsidR="00D518D4">
        <w:rPr>
          <w:rFonts w:asciiTheme="majorHAnsi" w:hAnsiTheme="majorHAnsi"/>
        </w:rPr>
        <w:t>extent</w:t>
      </w:r>
      <w:r>
        <w:rPr>
          <w:rFonts w:asciiTheme="majorHAnsi" w:hAnsiTheme="majorHAnsi"/>
        </w:rPr>
        <w:t>,</w:t>
      </w:r>
      <w:r w:rsidR="00D518D4">
        <w:rPr>
          <w:rFonts w:asciiTheme="majorHAnsi" w:hAnsiTheme="majorHAnsi"/>
        </w:rPr>
        <w:t xml:space="preserve"> gathered their funds from other large financial institutions, thus employed a </w:t>
      </w:r>
      <w:r w:rsidR="00D518D4" w:rsidRPr="00D518D4">
        <w:rPr>
          <w:rFonts w:asciiTheme="majorHAnsi" w:hAnsiTheme="majorHAnsi"/>
          <w:b/>
        </w:rPr>
        <w:t>wholesale fund gathering methods.</w:t>
      </w:r>
    </w:p>
    <w:p w:rsidR="006D186B" w:rsidRDefault="00AE5CD6" w:rsidP="00503033">
      <w:pPr>
        <w:spacing w:after="120"/>
        <w:rPr>
          <w:rFonts w:asciiTheme="majorHAnsi" w:hAnsiTheme="majorHAnsi"/>
        </w:rPr>
      </w:pPr>
      <w:r>
        <w:rPr>
          <w:rFonts w:asciiTheme="majorHAnsi" w:hAnsiTheme="majorHAnsi"/>
        </w:rPr>
        <w:t>More recently</w:t>
      </w:r>
      <w:r w:rsidR="00BE6DD8">
        <w:rPr>
          <w:rFonts w:asciiTheme="majorHAnsi" w:hAnsiTheme="majorHAnsi"/>
        </w:rPr>
        <w:t>,</w:t>
      </w:r>
      <w:r>
        <w:rPr>
          <w:rFonts w:asciiTheme="majorHAnsi" w:hAnsiTheme="majorHAnsi"/>
        </w:rPr>
        <w:t xml:space="preserve"> techno</w:t>
      </w:r>
      <w:r w:rsidR="00BE6DD8">
        <w:rPr>
          <w:rFonts w:asciiTheme="majorHAnsi" w:hAnsiTheme="majorHAnsi"/>
        </w:rPr>
        <w:t>-</w:t>
      </w:r>
      <w:r>
        <w:rPr>
          <w:rFonts w:asciiTheme="majorHAnsi" w:hAnsiTheme="majorHAnsi"/>
        </w:rPr>
        <w:t>centric non-financial</w:t>
      </w:r>
      <w:r w:rsidR="00BE6DD8">
        <w:rPr>
          <w:rFonts w:asciiTheme="majorHAnsi" w:hAnsiTheme="majorHAnsi"/>
        </w:rPr>
        <w:t>,</w:t>
      </w:r>
      <w:r>
        <w:rPr>
          <w:rFonts w:asciiTheme="majorHAnsi" w:hAnsiTheme="majorHAnsi"/>
        </w:rPr>
        <w:t xml:space="preserve"> </w:t>
      </w:r>
      <w:r w:rsidR="006D186B">
        <w:rPr>
          <w:rFonts w:asciiTheme="majorHAnsi" w:hAnsiTheme="majorHAnsi"/>
        </w:rPr>
        <w:t xml:space="preserve">non-depository </w:t>
      </w:r>
      <w:r w:rsidR="00BE6DD8">
        <w:rPr>
          <w:rFonts w:asciiTheme="majorHAnsi" w:hAnsiTheme="majorHAnsi"/>
        </w:rPr>
        <w:t>firms</w:t>
      </w:r>
      <w:r>
        <w:rPr>
          <w:rFonts w:asciiTheme="majorHAnsi" w:hAnsiTheme="majorHAnsi"/>
        </w:rPr>
        <w:t xml:space="preserve"> extended </w:t>
      </w:r>
      <w:r w:rsidR="00BE6DD8">
        <w:rPr>
          <w:rFonts w:asciiTheme="majorHAnsi" w:hAnsiTheme="majorHAnsi"/>
        </w:rPr>
        <w:t xml:space="preserve">the </w:t>
      </w:r>
      <w:r w:rsidR="006D186B" w:rsidRPr="006D186B">
        <w:rPr>
          <w:rFonts w:asciiTheme="majorHAnsi" w:hAnsiTheme="majorHAnsi"/>
        </w:rPr>
        <w:t xml:space="preserve">indirect, automated and wholesale data gathering method </w:t>
      </w:r>
      <w:r w:rsidR="006D186B">
        <w:rPr>
          <w:rFonts w:asciiTheme="majorHAnsi" w:hAnsiTheme="majorHAnsi"/>
        </w:rPr>
        <w:t>by augmenting their data with</w:t>
      </w:r>
      <w:r w:rsidR="002510AA">
        <w:rPr>
          <w:rFonts w:asciiTheme="majorHAnsi" w:hAnsiTheme="majorHAnsi"/>
        </w:rPr>
        <w:t xml:space="preserve"> </w:t>
      </w:r>
      <w:r>
        <w:rPr>
          <w:rFonts w:asciiTheme="majorHAnsi" w:hAnsiTheme="majorHAnsi"/>
        </w:rPr>
        <w:t>borrower data from pub</w:t>
      </w:r>
      <w:r w:rsidR="006D186B">
        <w:rPr>
          <w:rFonts w:asciiTheme="majorHAnsi" w:hAnsiTheme="majorHAnsi"/>
        </w:rPr>
        <w:t>lically available information</w:t>
      </w:r>
      <w:r>
        <w:rPr>
          <w:rFonts w:asciiTheme="majorHAnsi" w:hAnsiTheme="majorHAnsi"/>
        </w:rPr>
        <w:t xml:space="preserve"> </w:t>
      </w:r>
      <w:r w:rsidR="002510AA">
        <w:rPr>
          <w:rFonts w:asciiTheme="majorHAnsi" w:hAnsiTheme="majorHAnsi"/>
        </w:rPr>
        <w:t xml:space="preserve">gathered </w:t>
      </w:r>
      <w:r w:rsidR="006D186B">
        <w:rPr>
          <w:rFonts w:asciiTheme="majorHAnsi" w:hAnsiTheme="majorHAnsi"/>
        </w:rPr>
        <w:t>from</w:t>
      </w:r>
      <w:r w:rsidR="002510AA">
        <w:rPr>
          <w:rFonts w:asciiTheme="majorHAnsi" w:hAnsiTheme="majorHAnsi"/>
        </w:rPr>
        <w:t xml:space="preserve"> </w:t>
      </w:r>
      <w:r>
        <w:rPr>
          <w:rFonts w:asciiTheme="majorHAnsi" w:hAnsiTheme="majorHAnsi"/>
        </w:rPr>
        <w:t>the internet</w:t>
      </w:r>
      <w:r w:rsidR="002510AA">
        <w:rPr>
          <w:rFonts w:asciiTheme="majorHAnsi" w:hAnsiTheme="majorHAnsi"/>
        </w:rPr>
        <w:t xml:space="preserve">. These entities then use complex algorithms to </w:t>
      </w:r>
      <w:r w:rsidR="006D186B">
        <w:rPr>
          <w:rFonts w:asciiTheme="majorHAnsi" w:hAnsiTheme="majorHAnsi"/>
        </w:rPr>
        <w:t xml:space="preserve">quickly </w:t>
      </w:r>
      <w:r w:rsidR="002510AA">
        <w:rPr>
          <w:rFonts w:asciiTheme="majorHAnsi" w:hAnsiTheme="majorHAnsi"/>
        </w:rPr>
        <w:t>determine the probability of payment or default of a specific individual or business borrower. Thus</w:t>
      </w:r>
      <w:r w:rsidR="006D186B">
        <w:rPr>
          <w:rFonts w:asciiTheme="majorHAnsi" w:hAnsiTheme="majorHAnsi"/>
        </w:rPr>
        <w:t>,</w:t>
      </w:r>
      <w:r w:rsidR="002510AA">
        <w:rPr>
          <w:rFonts w:asciiTheme="majorHAnsi" w:hAnsiTheme="majorHAnsi"/>
        </w:rPr>
        <w:t xml:space="preserve"> this approach is a continuation of the indirect, automated data gathering </w:t>
      </w:r>
      <w:r w:rsidR="006D186B">
        <w:rPr>
          <w:rFonts w:asciiTheme="majorHAnsi" w:hAnsiTheme="majorHAnsi"/>
        </w:rPr>
        <w:t xml:space="preserve">and </w:t>
      </w:r>
      <w:r w:rsidR="002510AA">
        <w:rPr>
          <w:rFonts w:asciiTheme="majorHAnsi" w:hAnsiTheme="majorHAnsi"/>
        </w:rPr>
        <w:t xml:space="preserve">analyses approach that has been around for more </w:t>
      </w:r>
      <w:r w:rsidR="000B6FBA">
        <w:rPr>
          <w:rFonts w:asciiTheme="majorHAnsi" w:hAnsiTheme="majorHAnsi"/>
        </w:rPr>
        <w:t xml:space="preserve">for more </w:t>
      </w:r>
      <w:r w:rsidR="002510AA">
        <w:rPr>
          <w:rFonts w:asciiTheme="majorHAnsi" w:hAnsiTheme="majorHAnsi"/>
        </w:rPr>
        <w:t xml:space="preserve">than </w:t>
      </w:r>
      <w:r w:rsidR="000B6FBA">
        <w:rPr>
          <w:rFonts w:asciiTheme="majorHAnsi" w:hAnsiTheme="majorHAnsi"/>
        </w:rPr>
        <w:t>fifty years.</w:t>
      </w:r>
      <w:r w:rsidR="00D518D4">
        <w:rPr>
          <w:rFonts w:asciiTheme="majorHAnsi" w:hAnsiTheme="majorHAnsi"/>
        </w:rPr>
        <w:t xml:space="preserve"> </w:t>
      </w:r>
    </w:p>
    <w:p w:rsidR="00503033" w:rsidRDefault="00D518D4" w:rsidP="00503033">
      <w:pPr>
        <w:spacing w:after="120"/>
        <w:rPr>
          <w:rFonts w:asciiTheme="majorHAnsi" w:hAnsiTheme="majorHAnsi"/>
        </w:rPr>
      </w:pPr>
      <w:r>
        <w:rPr>
          <w:rFonts w:asciiTheme="majorHAnsi" w:hAnsiTheme="majorHAnsi"/>
        </w:rPr>
        <w:t xml:space="preserve">These entities do revert to the older method of gathering funds from individual </w:t>
      </w:r>
      <w:r w:rsidRPr="00D518D4">
        <w:rPr>
          <w:rFonts w:asciiTheme="majorHAnsi" w:hAnsiTheme="majorHAnsi"/>
          <w:b/>
        </w:rPr>
        <w:t>investors</w:t>
      </w:r>
      <w:r>
        <w:rPr>
          <w:rFonts w:asciiTheme="majorHAnsi" w:hAnsiTheme="majorHAnsi"/>
        </w:rPr>
        <w:t>, thus they employ a direct</w:t>
      </w:r>
      <w:r w:rsidR="006D186B">
        <w:rPr>
          <w:rFonts w:asciiTheme="majorHAnsi" w:hAnsiTheme="majorHAnsi"/>
        </w:rPr>
        <w:t>, but</w:t>
      </w:r>
      <w:r>
        <w:rPr>
          <w:rFonts w:asciiTheme="majorHAnsi" w:hAnsiTheme="majorHAnsi"/>
        </w:rPr>
        <w:t xml:space="preserve"> </w:t>
      </w:r>
      <w:r w:rsidR="006D186B">
        <w:rPr>
          <w:rFonts w:asciiTheme="majorHAnsi" w:hAnsiTheme="majorHAnsi"/>
        </w:rPr>
        <w:t>automated fund gathering method</w:t>
      </w:r>
      <w:r>
        <w:rPr>
          <w:rFonts w:asciiTheme="majorHAnsi" w:hAnsiTheme="majorHAnsi"/>
        </w:rPr>
        <w:t xml:space="preserve">. The </w:t>
      </w:r>
      <w:r w:rsidR="006D186B">
        <w:rPr>
          <w:rFonts w:asciiTheme="majorHAnsi" w:hAnsiTheme="majorHAnsi"/>
        </w:rPr>
        <w:t>key</w:t>
      </w:r>
      <w:r>
        <w:rPr>
          <w:rFonts w:asciiTheme="majorHAnsi" w:hAnsiTheme="majorHAnsi"/>
        </w:rPr>
        <w:t xml:space="preserve"> difference in this approach is that these new techno</w:t>
      </w:r>
      <w:r w:rsidR="00BE6DD8">
        <w:rPr>
          <w:rFonts w:asciiTheme="majorHAnsi" w:hAnsiTheme="majorHAnsi"/>
        </w:rPr>
        <w:t>-</w:t>
      </w:r>
      <w:r>
        <w:rPr>
          <w:rFonts w:asciiTheme="majorHAnsi" w:hAnsiTheme="majorHAnsi"/>
        </w:rPr>
        <w:t xml:space="preserve">centric entrants gather funds for individual investors and not </w:t>
      </w:r>
      <w:r w:rsidR="006D186B">
        <w:rPr>
          <w:rFonts w:asciiTheme="majorHAnsi" w:hAnsiTheme="majorHAnsi"/>
        </w:rPr>
        <w:t xml:space="preserve">from </w:t>
      </w:r>
      <w:r>
        <w:rPr>
          <w:rFonts w:asciiTheme="majorHAnsi" w:hAnsiTheme="majorHAnsi"/>
        </w:rPr>
        <w:t xml:space="preserve">individual savers. The distinction is critical </w:t>
      </w:r>
      <w:r w:rsidR="006D186B">
        <w:rPr>
          <w:rFonts w:asciiTheme="majorHAnsi" w:hAnsiTheme="majorHAnsi"/>
        </w:rPr>
        <w:t>because in most</w:t>
      </w:r>
      <w:r>
        <w:rPr>
          <w:rFonts w:asciiTheme="majorHAnsi" w:hAnsiTheme="majorHAnsi"/>
        </w:rPr>
        <w:t xml:space="preserve"> developed economies investors are afforded different, usually lesser, protections than savers. In addition, low-level investments</w:t>
      </w:r>
      <w:r w:rsidR="006D186B">
        <w:rPr>
          <w:rFonts w:asciiTheme="majorHAnsi" w:hAnsiTheme="majorHAnsi"/>
        </w:rPr>
        <w:t>, usually in the form of equity flotation in specific exchange,</w:t>
      </w:r>
      <w:r w:rsidR="00BE6DD8">
        <w:rPr>
          <w:rFonts w:asciiTheme="majorHAnsi" w:hAnsiTheme="majorHAnsi"/>
        </w:rPr>
        <w:t xml:space="preserve"> are typically</w:t>
      </w:r>
      <w:r>
        <w:rPr>
          <w:rFonts w:asciiTheme="majorHAnsi" w:hAnsiTheme="majorHAnsi"/>
        </w:rPr>
        <w:t xml:space="preserve"> afforded lower regulatory burdens than large</w:t>
      </w:r>
      <w:r w:rsidR="006D186B">
        <w:rPr>
          <w:rFonts w:asciiTheme="majorHAnsi" w:hAnsiTheme="majorHAnsi"/>
        </w:rPr>
        <w:t xml:space="preserve"> equity </w:t>
      </w:r>
      <w:r w:rsidR="001F068E">
        <w:rPr>
          <w:rFonts w:asciiTheme="majorHAnsi" w:hAnsiTheme="majorHAnsi"/>
        </w:rPr>
        <w:t>flotation</w:t>
      </w:r>
      <w:r w:rsidR="006D186B">
        <w:rPr>
          <w:rFonts w:asciiTheme="majorHAnsi" w:hAnsiTheme="majorHAnsi"/>
        </w:rPr>
        <w:t>.</w:t>
      </w:r>
    </w:p>
    <w:p w:rsidR="006F35B4" w:rsidRDefault="00C6054D" w:rsidP="000E7157">
      <w:pPr>
        <w:pStyle w:val="Heading2"/>
      </w:pPr>
      <w:bookmarkStart w:id="8" w:name="_Toc430353393"/>
      <w:r>
        <w:t>Typology of t</w:t>
      </w:r>
      <w:r w:rsidR="006F35B4">
        <w:t>echno</w:t>
      </w:r>
      <w:r w:rsidR="001F068E">
        <w:t>-</w:t>
      </w:r>
      <w:r>
        <w:t>centric new e</w:t>
      </w:r>
      <w:r w:rsidR="006F35B4">
        <w:t>ntrants</w:t>
      </w:r>
      <w:r w:rsidR="00877A13">
        <w:rPr>
          <w:rStyle w:val="FootnoteReference"/>
        </w:rPr>
        <w:footnoteReference w:id="25"/>
      </w:r>
      <w:bookmarkEnd w:id="8"/>
    </w:p>
    <w:p w:rsidR="00503033" w:rsidRPr="00503033" w:rsidRDefault="000B6FBA" w:rsidP="00503033">
      <w:pPr>
        <w:spacing w:after="120"/>
        <w:rPr>
          <w:rFonts w:asciiTheme="majorHAnsi" w:hAnsiTheme="majorHAnsi"/>
        </w:rPr>
      </w:pPr>
      <w:r>
        <w:rPr>
          <w:rFonts w:asciiTheme="majorHAnsi" w:hAnsiTheme="majorHAnsi"/>
        </w:rPr>
        <w:t xml:space="preserve">These new </w:t>
      </w:r>
      <w:r w:rsidR="006F35B4">
        <w:rPr>
          <w:rFonts w:asciiTheme="majorHAnsi" w:hAnsiTheme="majorHAnsi"/>
        </w:rPr>
        <w:t>techno</w:t>
      </w:r>
      <w:r w:rsidR="001F068E">
        <w:rPr>
          <w:rFonts w:asciiTheme="majorHAnsi" w:hAnsiTheme="majorHAnsi"/>
        </w:rPr>
        <w:t>-</w:t>
      </w:r>
      <w:r w:rsidR="006F35B4">
        <w:rPr>
          <w:rFonts w:asciiTheme="majorHAnsi" w:hAnsiTheme="majorHAnsi"/>
        </w:rPr>
        <w:t xml:space="preserve">centric </w:t>
      </w:r>
      <w:r>
        <w:rPr>
          <w:rFonts w:asciiTheme="majorHAnsi" w:hAnsiTheme="majorHAnsi"/>
        </w:rPr>
        <w:t xml:space="preserve">entrants </w:t>
      </w:r>
      <w:r w:rsidR="006D186B">
        <w:rPr>
          <w:rFonts w:asciiTheme="majorHAnsi" w:hAnsiTheme="majorHAnsi"/>
        </w:rPr>
        <w:t>can be roughly</w:t>
      </w:r>
      <w:r w:rsidR="00877A13">
        <w:rPr>
          <w:rFonts w:asciiTheme="majorHAnsi" w:hAnsiTheme="majorHAnsi"/>
        </w:rPr>
        <w:t xml:space="preserve"> classified in three categories:</w:t>
      </w:r>
      <w:r w:rsidR="006F35B4">
        <w:rPr>
          <w:rFonts w:asciiTheme="majorHAnsi" w:hAnsiTheme="majorHAnsi"/>
        </w:rPr>
        <w:t xml:space="preserve"> (1) </w:t>
      </w:r>
      <w:r w:rsidR="00503033" w:rsidRPr="006F35B4">
        <w:rPr>
          <w:rFonts w:asciiTheme="majorHAnsi" w:hAnsiTheme="majorHAnsi"/>
          <w:i/>
        </w:rPr>
        <w:t>Online Balance Sheet Lender</w:t>
      </w:r>
      <w:r w:rsidR="00D222B0">
        <w:rPr>
          <w:rFonts w:asciiTheme="majorHAnsi" w:hAnsiTheme="majorHAnsi"/>
          <w:i/>
        </w:rPr>
        <w:t>s</w:t>
      </w:r>
      <w:r w:rsidR="00503033" w:rsidRPr="00503033">
        <w:rPr>
          <w:rFonts w:asciiTheme="majorHAnsi" w:hAnsiTheme="majorHAnsi"/>
        </w:rPr>
        <w:t xml:space="preserve">, </w:t>
      </w:r>
      <w:r w:rsidR="006F35B4">
        <w:rPr>
          <w:rFonts w:asciiTheme="majorHAnsi" w:hAnsiTheme="majorHAnsi"/>
        </w:rPr>
        <w:t xml:space="preserve">that use </w:t>
      </w:r>
      <w:r w:rsidR="00503033" w:rsidRPr="00503033">
        <w:rPr>
          <w:rFonts w:asciiTheme="majorHAnsi" w:hAnsiTheme="majorHAnsi"/>
        </w:rPr>
        <w:t>non-traditional data</w:t>
      </w:r>
      <w:r w:rsidR="006F35B4">
        <w:rPr>
          <w:rFonts w:asciiTheme="majorHAnsi" w:hAnsiTheme="majorHAnsi"/>
        </w:rPr>
        <w:t xml:space="preserve"> gathering and complex algorithms to quickly assess the future </w:t>
      </w:r>
      <w:r w:rsidR="00A54176">
        <w:rPr>
          <w:rFonts w:asciiTheme="majorHAnsi" w:hAnsiTheme="majorHAnsi"/>
        </w:rPr>
        <w:t xml:space="preserve">profitability and risk of </w:t>
      </w:r>
      <w:r w:rsidR="006F35B4">
        <w:rPr>
          <w:rFonts w:asciiTheme="majorHAnsi" w:hAnsiTheme="majorHAnsi"/>
        </w:rPr>
        <w:t>a loan</w:t>
      </w:r>
      <w:r w:rsidR="006F35B4">
        <w:rPr>
          <w:rStyle w:val="FootnoteReference"/>
          <w:rFonts w:asciiTheme="majorHAnsi" w:hAnsiTheme="majorHAnsi"/>
        </w:rPr>
        <w:footnoteReference w:id="26"/>
      </w:r>
      <w:r w:rsidR="006F35B4">
        <w:rPr>
          <w:rFonts w:asciiTheme="majorHAnsi" w:hAnsiTheme="majorHAnsi"/>
        </w:rPr>
        <w:t>.</w:t>
      </w:r>
      <w:r w:rsidR="00A54176">
        <w:rPr>
          <w:rFonts w:asciiTheme="majorHAnsi" w:hAnsiTheme="majorHAnsi"/>
        </w:rPr>
        <w:t xml:space="preserve"> </w:t>
      </w:r>
      <w:r w:rsidR="00FD6F3C">
        <w:rPr>
          <w:rFonts w:asciiTheme="majorHAnsi" w:hAnsiTheme="majorHAnsi"/>
        </w:rPr>
        <w:t xml:space="preserve">Examples of these entities include </w:t>
      </w:r>
      <w:proofErr w:type="spellStart"/>
      <w:r w:rsidR="00FD6F3C">
        <w:rPr>
          <w:rFonts w:asciiTheme="majorHAnsi" w:hAnsiTheme="majorHAnsi"/>
        </w:rPr>
        <w:t>OnDeck</w:t>
      </w:r>
      <w:proofErr w:type="spellEnd"/>
      <w:r w:rsidR="00FD6F3C">
        <w:rPr>
          <w:rFonts w:asciiTheme="majorHAnsi" w:hAnsiTheme="majorHAnsi"/>
        </w:rPr>
        <w:t xml:space="preserve"> &lt; </w:t>
      </w:r>
      <w:hyperlink r:id="rId12" w:history="1">
        <w:r w:rsidR="00FD6F3C" w:rsidRPr="00E778F4">
          <w:rPr>
            <w:rStyle w:val="Hyperlink"/>
            <w:rFonts w:asciiTheme="majorHAnsi" w:hAnsiTheme="majorHAnsi"/>
          </w:rPr>
          <w:t>www.ondeck.com</w:t>
        </w:r>
      </w:hyperlink>
      <w:r w:rsidR="00FD6F3C">
        <w:rPr>
          <w:rFonts w:asciiTheme="majorHAnsi" w:hAnsiTheme="majorHAnsi"/>
        </w:rPr>
        <w:t xml:space="preserve">&gt; and </w:t>
      </w:r>
      <w:proofErr w:type="spellStart"/>
      <w:r w:rsidR="00FD6F3C">
        <w:rPr>
          <w:rFonts w:asciiTheme="majorHAnsi" w:hAnsiTheme="majorHAnsi"/>
        </w:rPr>
        <w:t>Kabbage</w:t>
      </w:r>
      <w:proofErr w:type="spellEnd"/>
      <w:r w:rsidR="00FD6F3C">
        <w:rPr>
          <w:rFonts w:asciiTheme="majorHAnsi" w:hAnsiTheme="majorHAnsi"/>
        </w:rPr>
        <w:t xml:space="preserve"> &lt; </w:t>
      </w:r>
      <w:hyperlink r:id="rId13" w:history="1">
        <w:r w:rsidR="00FD6F3C" w:rsidRPr="00E778F4">
          <w:rPr>
            <w:rStyle w:val="Hyperlink"/>
            <w:rFonts w:asciiTheme="majorHAnsi" w:hAnsiTheme="majorHAnsi"/>
          </w:rPr>
          <w:t>www.kabbage.com</w:t>
        </w:r>
      </w:hyperlink>
      <w:r w:rsidR="00FD6F3C">
        <w:rPr>
          <w:rFonts w:asciiTheme="majorHAnsi" w:hAnsiTheme="majorHAnsi"/>
        </w:rPr>
        <w:t xml:space="preserve">&gt;. (2) </w:t>
      </w:r>
      <w:r w:rsidR="00FD6F3C" w:rsidRPr="001F068E">
        <w:rPr>
          <w:rFonts w:asciiTheme="majorHAnsi" w:hAnsiTheme="majorHAnsi"/>
          <w:i/>
        </w:rPr>
        <w:t>Peer to Peer Lenders</w:t>
      </w:r>
      <w:r w:rsidR="00503033" w:rsidRPr="00503033">
        <w:rPr>
          <w:rFonts w:asciiTheme="majorHAnsi" w:hAnsiTheme="majorHAnsi"/>
        </w:rPr>
        <w:t xml:space="preserve"> (P2PL</w:t>
      </w:r>
      <w:r w:rsidR="001F068E" w:rsidRPr="00503033">
        <w:rPr>
          <w:rFonts w:asciiTheme="majorHAnsi" w:hAnsiTheme="majorHAnsi"/>
        </w:rPr>
        <w:t>) that</w:t>
      </w:r>
      <w:r w:rsidR="00FD6F3C">
        <w:rPr>
          <w:rFonts w:asciiTheme="majorHAnsi" w:hAnsiTheme="majorHAnsi"/>
        </w:rPr>
        <w:t xml:space="preserve"> match lenders and borrowers. Depending on the size of the loan, the credit origination can include one lender and one borrower, or </w:t>
      </w:r>
      <w:r w:rsidR="001F068E">
        <w:rPr>
          <w:rFonts w:asciiTheme="majorHAnsi" w:hAnsiTheme="majorHAnsi"/>
        </w:rPr>
        <w:t xml:space="preserve">may include </w:t>
      </w:r>
      <w:r w:rsidR="00FD6F3C">
        <w:rPr>
          <w:rFonts w:asciiTheme="majorHAnsi" w:hAnsiTheme="majorHAnsi"/>
        </w:rPr>
        <w:t>many lenders and one borrower, or one lender and many borrowers. Examples of these entities include Lending Club &lt;</w:t>
      </w:r>
      <w:r w:rsidR="009B3A07">
        <w:rPr>
          <w:rFonts w:asciiTheme="majorHAnsi" w:hAnsiTheme="majorHAnsi"/>
        </w:rPr>
        <w:t xml:space="preserve"> </w:t>
      </w:r>
      <w:hyperlink r:id="rId14" w:history="1">
        <w:r w:rsidR="009B3A07" w:rsidRPr="00E778F4">
          <w:rPr>
            <w:rStyle w:val="Hyperlink"/>
            <w:rFonts w:asciiTheme="majorHAnsi" w:hAnsiTheme="majorHAnsi"/>
          </w:rPr>
          <w:t>www.lendingclub.com</w:t>
        </w:r>
      </w:hyperlink>
      <w:r w:rsidR="009B3A07">
        <w:rPr>
          <w:rFonts w:asciiTheme="majorHAnsi" w:hAnsiTheme="majorHAnsi"/>
        </w:rPr>
        <w:t xml:space="preserve"> &gt;</w:t>
      </w:r>
      <w:r w:rsidR="00877A13">
        <w:rPr>
          <w:rFonts w:asciiTheme="majorHAnsi" w:hAnsiTheme="majorHAnsi"/>
        </w:rPr>
        <w:t xml:space="preserve"> and Funding Circle &lt; </w:t>
      </w:r>
      <w:hyperlink r:id="rId15" w:history="1">
        <w:r w:rsidR="00877A13" w:rsidRPr="00E778F4">
          <w:rPr>
            <w:rStyle w:val="Hyperlink"/>
            <w:rFonts w:asciiTheme="majorHAnsi" w:hAnsiTheme="majorHAnsi"/>
          </w:rPr>
          <w:t>www.fundingcircle.com</w:t>
        </w:r>
      </w:hyperlink>
      <w:r w:rsidR="00877A13">
        <w:rPr>
          <w:rFonts w:asciiTheme="majorHAnsi" w:hAnsiTheme="majorHAnsi"/>
        </w:rPr>
        <w:t xml:space="preserve"> &gt;. (3) </w:t>
      </w:r>
      <w:r w:rsidR="00877A13" w:rsidRPr="001F068E">
        <w:rPr>
          <w:rFonts w:asciiTheme="majorHAnsi" w:hAnsiTheme="majorHAnsi"/>
          <w:i/>
        </w:rPr>
        <w:t xml:space="preserve">Market Place </w:t>
      </w:r>
      <w:r w:rsidR="001F068E" w:rsidRPr="001F068E">
        <w:rPr>
          <w:rFonts w:asciiTheme="majorHAnsi" w:hAnsiTheme="majorHAnsi"/>
          <w:i/>
        </w:rPr>
        <w:t>C</w:t>
      </w:r>
      <w:r w:rsidR="00877A13" w:rsidRPr="001F068E">
        <w:rPr>
          <w:rFonts w:asciiTheme="majorHAnsi" w:hAnsiTheme="majorHAnsi"/>
          <w:i/>
        </w:rPr>
        <w:t>reators</w:t>
      </w:r>
      <w:r w:rsidR="00877A13">
        <w:rPr>
          <w:rFonts w:asciiTheme="majorHAnsi" w:hAnsiTheme="majorHAnsi"/>
        </w:rPr>
        <w:t xml:space="preserve">. Examples of these sites include </w:t>
      </w:r>
      <w:proofErr w:type="spellStart"/>
      <w:r w:rsidR="00877A13">
        <w:rPr>
          <w:rFonts w:asciiTheme="majorHAnsi" w:hAnsiTheme="majorHAnsi"/>
        </w:rPr>
        <w:t>Fundera</w:t>
      </w:r>
      <w:proofErr w:type="spellEnd"/>
      <w:r w:rsidR="00877A13">
        <w:rPr>
          <w:rFonts w:asciiTheme="majorHAnsi" w:hAnsiTheme="majorHAnsi"/>
        </w:rPr>
        <w:t xml:space="preserve"> &lt;</w:t>
      </w:r>
      <w:r w:rsidR="00BA7D47">
        <w:rPr>
          <w:rFonts w:asciiTheme="majorHAnsi" w:hAnsiTheme="majorHAnsi"/>
        </w:rPr>
        <w:t xml:space="preserve"> </w:t>
      </w:r>
      <w:hyperlink r:id="rId16" w:history="1">
        <w:r w:rsidR="000E380E" w:rsidRPr="00525D5C">
          <w:rPr>
            <w:rStyle w:val="Hyperlink"/>
            <w:rFonts w:asciiTheme="majorHAnsi" w:hAnsiTheme="majorHAnsi"/>
          </w:rPr>
          <w:t>www.fundera.com</w:t>
        </w:r>
      </w:hyperlink>
      <w:r w:rsidR="000E380E">
        <w:rPr>
          <w:rFonts w:asciiTheme="majorHAnsi" w:hAnsiTheme="majorHAnsi"/>
        </w:rPr>
        <w:t xml:space="preserve"> </w:t>
      </w:r>
      <w:r w:rsidR="00877A13">
        <w:rPr>
          <w:rFonts w:asciiTheme="majorHAnsi" w:hAnsiTheme="majorHAnsi"/>
        </w:rPr>
        <w:t>&gt; and Biz2Credit &lt;</w:t>
      </w:r>
      <w:r w:rsidR="00BA7D47">
        <w:rPr>
          <w:rFonts w:asciiTheme="majorHAnsi" w:hAnsiTheme="majorHAnsi"/>
        </w:rPr>
        <w:t xml:space="preserve"> </w:t>
      </w:r>
      <w:hyperlink r:id="rId17" w:history="1">
        <w:r w:rsidR="00BA7D47" w:rsidRPr="00E778F4">
          <w:rPr>
            <w:rStyle w:val="Hyperlink"/>
            <w:rFonts w:asciiTheme="majorHAnsi" w:hAnsiTheme="majorHAnsi"/>
          </w:rPr>
          <w:t>www.biz2credit.com</w:t>
        </w:r>
      </w:hyperlink>
      <w:r w:rsidR="00BA7D47">
        <w:rPr>
          <w:rFonts w:asciiTheme="majorHAnsi" w:hAnsiTheme="majorHAnsi"/>
        </w:rPr>
        <w:t xml:space="preserve"> </w:t>
      </w:r>
      <w:r w:rsidR="00877A13">
        <w:rPr>
          <w:rFonts w:asciiTheme="majorHAnsi" w:hAnsiTheme="majorHAnsi"/>
        </w:rPr>
        <w:t xml:space="preserve">&gt;, </w:t>
      </w:r>
      <w:proofErr w:type="spellStart"/>
      <w:r w:rsidR="00877A13">
        <w:rPr>
          <w:rFonts w:asciiTheme="majorHAnsi" w:hAnsiTheme="majorHAnsi"/>
        </w:rPr>
        <w:t>Crowdfunding</w:t>
      </w:r>
      <w:proofErr w:type="spellEnd"/>
      <w:r w:rsidR="00877A13">
        <w:rPr>
          <w:rFonts w:asciiTheme="majorHAnsi" w:hAnsiTheme="majorHAnsi"/>
        </w:rPr>
        <w:t xml:space="preserve"> sites can also be included in this type of techno</w:t>
      </w:r>
      <w:r w:rsidR="001F068E">
        <w:rPr>
          <w:rFonts w:asciiTheme="majorHAnsi" w:hAnsiTheme="majorHAnsi"/>
        </w:rPr>
        <w:t>-</w:t>
      </w:r>
      <w:r w:rsidR="00877A13">
        <w:rPr>
          <w:rFonts w:asciiTheme="majorHAnsi" w:hAnsiTheme="majorHAnsi"/>
        </w:rPr>
        <w:t>centric entities that have entered the unregulated or lightly regulated segment of the financial sector.</w:t>
      </w:r>
      <w:r w:rsidR="00BA7D47">
        <w:rPr>
          <w:rFonts w:asciiTheme="majorHAnsi" w:hAnsiTheme="majorHAnsi"/>
        </w:rPr>
        <w:t xml:space="preserve"> </w:t>
      </w:r>
      <w:r w:rsidR="00BA7D47" w:rsidRPr="001F068E">
        <w:rPr>
          <w:rFonts w:asciiTheme="majorHAnsi" w:hAnsiTheme="majorHAnsi"/>
          <w:b/>
        </w:rPr>
        <w:t xml:space="preserve">An analysis of these </w:t>
      </w:r>
      <w:r w:rsidR="001F068E" w:rsidRPr="001F068E">
        <w:rPr>
          <w:rFonts w:asciiTheme="majorHAnsi" w:hAnsiTheme="majorHAnsi"/>
          <w:b/>
        </w:rPr>
        <w:t>techno-centric new entrants</w:t>
      </w:r>
      <w:r w:rsidR="00BA7D47" w:rsidRPr="001F068E">
        <w:rPr>
          <w:rFonts w:asciiTheme="majorHAnsi" w:hAnsiTheme="majorHAnsi"/>
          <w:b/>
        </w:rPr>
        <w:t xml:space="preserve"> shows that they </w:t>
      </w:r>
      <w:r w:rsidR="00D222B0" w:rsidRPr="001F068E">
        <w:rPr>
          <w:rFonts w:asciiTheme="majorHAnsi" w:hAnsiTheme="majorHAnsi"/>
          <w:b/>
        </w:rPr>
        <w:t xml:space="preserve">utilize </w:t>
      </w:r>
      <w:r w:rsidR="00BA7D47" w:rsidRPr="001F068E">
        <w:rPr>
          <w:rFonts w:asciiTheme="majorHAnsi" w:hAnsiTheme="majorHAnsi"/>
          <w:b/>
        </w:rPr>
        <w:t>alternative, usually more efficient</w:t>
      </w:r>
      <w:r w:rsidR="00D222B0" w:rsidRPr="001F068E">
        <w:rPr>
          <w:rFonts w:asciiTheme="majorHAnsi" w:hAnsiTheme="majorHAnsi"/>
          <w:b/>
        </w:rPr>
        <w:t>,</w:t>
      </w:r>
      <w:r w:rsidR="00BA7D47" w:rsidRPr="001F068E">
        <w:rPr>
          <w:rFonts w:asciiTheme="majorHAnsi" w:hAnsiTheme="majorHAnsi"/>
          <w:b/>
        </w:rPr>
        <w:t xml:space="preserve"> processes</w:t>
      </w:r>
      <w:r w:rsidR="00D222B0" w:rsidRPr="001F068E">
        <w:rPr>
          <w:rFonts w:asciiTheme="majorHAnsi" w:hAnsiTheme="majorHAnsi"/>
          <w:b/>
        </w:rPr>
        <w:t xml:space="preserve"> </w:t>
      </w:r>
      <w:r w:rsidR="00BA7D47" w:rsidRPr="001F068E">
        <w:rPr>
          <w:rFonts w:asciiTheme="majorHAnsi" w:hAnsiTheme="majorHAnsi"/>
          <w:b/>
        </w:rPr>
        <w:t xml:space="preserve">for </w:t>
      </w:r>
      <w:r w:rsidR="00D222B0" w:rsidRPr="001F068E">
        <w:rPr>
          <w:rFonts w:asciiTheme="majorHAnsi" w:hAnsiTheme="majorHAnsi"/>
          <w:b/>
        </w:rPr>
        <w:t>delivering</w:t>
      </w:r>
      <w:r w:rsidR="00BA7D47" w:rsidRPr="001F068E">
        <w:rPr>
          <w:rFonts w:asciiTheme="majorHAnsi" w:hAnsiTheme="majorHAnsi"/>
          <w:b/>
        </w:rPr>
        <w:t xml:space="preserve"> traditional financial products to traditional and at times young firms. They certainly do not focus on providing credit to innovative SMEs that </w:t>
      </w:r>
      <w:r w:rsidR="00D222B0" w:rsidRPr="001F068E">
        <w:rPr>
          <w:rFonts w:asciiTheme="majorHAnsi" w:hAnsiTheme="majorHAnsi"/>
          <w:b/>
        </w:rPr>
        <w:t xml:space="preserve">usually </w:t>
      </w:r>
      <w:r w:rsidR="00BA7D47" w:rsidRPr="001F068E">
        <w:rPr>
          <w:rFonts w:asciiTheme="majorHAnsi" w:hAnsiTheme="majorHAnsi"/>
          <w:b/>
        </w:rPr>
        <w:t>lack collateral and possibly a transactional history</w:t>
      </w:r>
      <w:r w:rsidR="00BA7D47">
        <w:rPr>
          <w:rFonts w:asciiTheme="majorHAnsi" w:hAnsiTheme="majorHAnsi"/>
        </w:rPr>
        <w:t>.</w:t>
      </w:r>
    </w:p>
    <w:p w:rsidR="00503033" w:rsidRDefault="00C6054D" w:rsidP="000E7157">
      <w:pPr>
        <w:pStyle w:val="Heading2"/>
      </w:pPr>
      <w:bookmarkStart w:id="9" w:name="_Toc430353394"/>
      <w:r>
        <w:t>The MGS advantage r</w:t>
      </w:r>
      <w:r w:rsidR="000E7157">
        <w:t>estated</w:t>
      </w:r>
      <w:bookmarkEnd w:id="9"/>
    </w:p>
    <w:p w:rsidR="00086451" w:rsidRDefault="000E7157" w:rsidP="008937A8">
      <w:pPr>
        <w:spacing w:after="120"/>
        <w:rPr>
          <w:rFonts w:asciiTheme="majorHAnsi" w:hAnsiTheme="majorHAnsi"/>
        </w:rPr>
      </w:pPr>
      <w:r>
        <w:rPr>
          <w:rFonts w:asciiTheme="majorHAnsi" w:hAnsiTheme="majorHAnsi"/>
        </w:rPr>
        <w:t>Taking under consideration the defining characteristic</w:t>
      </w:r>
      <w:r w:rsidR="0029110F">
        <w:rPr>
          <w:rFonts w:asciiTheme="majorHAnsi" w:hAnsiTheme="majorHAnsi"/>
        </w:rPr>
        <w:t>s of</w:t>
      </w:r>
      <w:r w:rsidR="00F4225A">
        <w:rPr>
          <w:rFonts w:asciiTheme="majorHAnsi" w:hAnsiTheme="majorHAnsi"/>
        </w:rPr>
        <w:t xml:space="preserve"> the Regulatory Dynamics, the characteristics of </w:t>
      </w:r>
      <w:r>
        <w:rPr>
          <w:rFonts w:asciiTheme="majorHAnsi" w:hAnsiTheme="majorHAnsi"/>
        </w:rPr>
        <w:t>techno</w:t>
      </w:r>
      <w:r w:rsidR="004A108D">
        <w:rPr>
          <w:rFonts w:asciiTheme="majorHAnsi" w:hAnsiTheme="majorHAnsi"/>
        </w:rPr>
        <w:t>-</w:t>
      </w:r>
      <w:r>
        <w:rPr>
          <w:rFonts w:asciiTheme="majorHAnsi" w:hAnsiTheme="majorHAnsi"/>
        </w:rPr>
        <w:t>centric new entrants</w:t>
      </w:r>
      <w:r w:rsidR="0029110F">
        <w:rPr>
          <w:rFonts w:asciiTheme="majorHAnsi" w:hAnsiTheme="majorHAnsi"/>
        </w:rPr>
        <w:t>,</w:t>
      </w:r>
      <w:r>
        <w:rPr>
          <w:rFonts w:asciiTheme="majorHAnsi" w:hAnsiTheme="majorHAnsi"/>
        </w:rPr>
        <w:t xml:space="preserve"> the particular advantage of MGS to provide financing to innovative SMEs </w:t>
      </w:r>
      <w:r w:rsidR="0029110F">
        <w:rPr>
          <w:rFonts w:asciiTheme="majorHAnsi" w:hAnsiTheme="majorHAnsi"/>
        </w:rPr>
        <w:t>become</w:t>
      </w:r>
      <w:r w:rsidR="00D91DDB">
        <w:rPr>
          <w:rFonts w:asciiTheme="majorHAnsi" w:hAnsiTheme="majorHAnsi"/>
        </w:rPr>
        <w:t>s</w:t>
      </w:r>
      <w:r w:rsidR="00F4225A">
        <w:rPr>
          <w:rFonts w:asciiTheme="majorHAnsi" w:hAnsiTheme="majorHAnsi"/>
        </w:rPr>
        <w:t xml:space="preserve"> more evident. It also becomes clear that this particular advantage</w:t>
      </w:r>
      <w:r w:rsidR="0029110F">
        <w:rPr>
          <w:rFonts w:asciiTheme="majorHAnsi" w:hAnsiTheme="majorHAnsi"/>
        </w:rPr>
        <w:t xml:space="preserve"> </w:t>
      </w:r>
      <w:r w:rsidR="00F4225A">
        <w:rPr>
          <w:rFonts w:asciiTheme="majorHAnsi" w:hAnsiTheme="majorHAnsi"/>
        </w:rPr>
        <w:t>is based on</w:t>
      </w:r>
      <w:r w:rsidR="0029110F">
        <w:rPr>
          <w:rFonts w:asciiTheme="majorHAnsi" w:hAnsiTheme="majorHAnsi"/>
        </w:rPr>
        <w:t xml:space="preserve"> </w:t>
      </w:r>
      <w:r w:rsidR="00F4225A">
        <w:rPr>
          <w:rFonts w:asciiTheme="majorHAnsi" w:hAnsiTheme="majorHAnsi"/>
        </w:rPr>
        <w:t xml:space="preserve">(a) restructuring </w:t>
      </w:r>
      <w:r w:rsidR="0029110F">
        <w:rPr>
          <w:rFonts w:asciiTheme="majorHAnsi" w:hAnsiTheme="majorHAnsi"/>
        </w:rPr>
        <w:t xml:space="preserve">of </w:t>
      </w:r>
      <w:r w:rsidR="00F4225A">
        <w:rPr>
          <w:rFonts w:asciiTheme="majorHAnsi" w:hAnsiTheme="majorHAnsi"/>
        </w:rPr>
        <w:t xml:space="preserve">its </w:t>
      </w:r>
      <w:r w:rsidR="0029110F" w:rsidRPr="00D91DDB">
        <w:rPr>
          <w:rFonts w:asciiTheme="majorHAnsi" w:hAnsiTheme="majorHAnsi"/>
          <w:i/>
        </w:rPr>
        <w:t>affinity financing</w:t>
      </w:r>
      <w:r w:rsidR="00F4225A">
        <w:rPr>
          <w:rFonts w:asciiTheme="majorHAnsi" w:hAnsiTheme="majorHAnsi"/>
        </w:rPr>
        <w:t xml:space="preserve"> capacity </w:t>
      </w:r>
      <w:r w:rsidR="00086451">
        <w:rPr>
          <w:rFonts w:asciiTheme="majorHAnsi" w:hAnsiTheme="majorHAnsi"/>
        </w:rPr>
        <w:t xml:space="preserve">and </w:t>
      </w:r>
      <w:r w:rsidR="00F4225A">
        <w:rPr>
          <w:rFonts w:asciiTheme="majorHAnsi" w:hAnsiTheme="majorHAnsi"/>
        </w:rPr>
        <w:t xml:space="preserve">(b) </w:t>
      </w:r>
      <w:r w:rsidR="00086451">
        <w:rPr>
          <w:rFonts w:asciiTheme="majorHAnsi" w:hAnsiTheme="majorHAnsi"/>
        </w:rPr>
        <w:t>extending its knowledge of lending to SMEs in its own sector.</w:t>
      </w:r>
    </w:p>
    <w:p w:rsidR="00BB229B" w:rsidRDefault="0029110F" w:rsidP="008937A8">
      <w:pPr>
        <w:spacing w:after="120"/>
        <w:rPr>
          <w:rFonts w:asciiTheme="majorHAnsi" w:hAnsiTheme="majorHAnsi"/>
        </w:rPr>
      </w:pPr>
      <w:r>
        <w:rPr>
          <w:rFonts w:asciiTheme="majorHAnsi" w:hAnsiTheme="majorHAnsi"/>
        </w:rPr>
        <w:t>Traditionally</w:t>
      </w:r>
      <w:r w:rsidR="00D91DDB">
        <w:rPr>
          <w:rFonts w:asciiTheme="majorHAnsi" w:hAnsiTheme="majorHAnsi"/>
        </w:rPr>
        <w:t>,</w:t>
      </w:r>
      <w:r>
        <w:rPr>
          <w:rFonts w:asciiTheme="majorHAnsi" w:hAnsiTheme="majorHAnsi"/>
        </w:rPr>
        <w:t xml:space="preserve"> </w:t>
      </w:r>
      <w:r w:rsidRPr="00D91DDB">
        <w:rPr>
          <w:rFonts w:asciiTheme="majorHAnsi" w:hAnsiTheme="majorHAnsi"/>
        </w:rPr>
        <w:t>affinity finance</w:t>
      </w:r>
      <w:r>
        <w:rPr>
          <w:rFonts w:asciiTheme="majorHAnsi" w:hAnsiTheme="majorHAnsi"/>
        </w:rPr>
        <w:t xml:space="preserve"> </w:t>
      </w:r>
      <w:r w:rsidR="00D91DDB">
        <w:rPr>
          <w:rFonts w:asciiTheme="majorHAnsi" w:hAnsiTheme="majorHAnsi"/>
        </w:rPr>
        <w:t xml:space="preserve">has taken the form of </w:t>
      </w:r>
      <w:r w:rsidR="00D91DDB" w:rsidRPr="00D91DDB">
        <w:rPr>
          <w:rFonts w:asciiTheme="majorHAnsi" w:hAnsiTheme="majorHAnsi"/>
          <w:i/>
        </w:rPr>
        <w:t>lender-borrower affinity</w:t>
      </w:r>
      <w:r w:rsidR="00D91DDB">
        <w:rPr>
          <w:rFonts w:asciiTheme="majorHAnsi" w:hAnsiTheme="majorHAnsi"/>
        </w:rPr>
        <w:t xml:space="preserve">, where the </w:t>
      </w:r>
      <w:r>
        <w:rPr>
          <w:rFonts w:asciiTheme="majorHAnsi" w:hAnsiTheme="majorHAnsi"/>
        </w:rPr>
        <w:t xml:space="preserve">lender has the same characteristics </w:t>
      </w:r>
      <w:r w:rsidR="00D91DDB">
        <w:rPr>
          <w:rFonts w:asciiTheme="majorHAnsi" w:hAnsiTheme="majorHAnsi"/>
        </w:rPr>
        <w:t xml:space="preserve">or operates in the same market </w:t>
      </w:r>
      <w:r>
        <w:rPr>
          <w:rFonts w:asciiTheme="majorHAnsi" w:hAnsiTheme="majorHAnsi"/>
        </w:rPr>
        <w:t>as the borrower</w:t>
      </w:r>
      <w:r w:rsidR="00D91DDB">
        <w:rPr>
          <w:rFonts w:asciiTheme="majorHAnsi" w:hAnsiTheme="majorHAnsi"/>
        </w:rPr>
        <w:t xml:space="preserve">. Indeed, this is the defining characteristic of </w:t>
      </w:r>
      <w:r>
        <w:rPr>
          <w:rFonts w:asciiTheme="majorHAnsi" w:hAnsiTheme="majorHAnsi"/>
        </w:rPr>
        <w:t>MGS</w:t>
      </w:r>
      <w:r w:rsidR="00D91DDB">
        <w:rPr>
          <w:rFonts w:asciiTheme="majorHAnsi" w:hAnsiTheme="majorHAnsi"/>
        </w:rPr>
        <w:t xml:space="preserve"> </w:t>
      </w:r>
      <w:r w:rsidR="00F4225A">
        <w:rPr>
          <w:rFonts w:asciiTheme="majorHAnsi" w:hAnsiTheme="majorHAnsi"/>
        </w:rPr>
        <w:t>financing</w:t>
      </w:r>
      <w:r w:rsidR="00D91DDB">
        <w:rPr>
          <w:rFonts w:asciiTheme="majorHAnsi" w:hAnsiTheme="majorHAnsi"/>
        </w:rPr>
        <w:t xml:space="preserve">. </w:t>
      </w:r>
      <w:r w:rsidR="00D91DDB" w:rsidRPr="00F4225A">
        <w:rPr>
          <w:rFonts w:asciiTheme="majorHAnsi" w:hAnsiTheme="majorHAnsi"/>
          <w:b/>
        </w:rPr>
        <w:t>Financing the portion of innovative SMEs that serve the MGS sector is based on a variation of this concept</w:t>
      </w:r>
      <w:r w:rsidR="00086451" w:rsidRPr="00F4225A">
        <w:rPr>
          <w:rFonts w:asciiTheme="majorHAnsi" w:hAnsiTheme="majorHAnsi"/>
          <w:b/>
        </w:rPr>
        <w:t xml:space="preserve">. More specifically, it is based on </w:t>
      </w:r>
      <w:r w:rsidR="00D91DDB" w:rsidRPr="00F4225A">
        <w:rPr>
          <w:rFonts w:asciiTheme="majorHAnsi" w:hAnsiTheme="majorHAnsi"/>
          <w:b/>
        </w:rPr>
        <w:t xml:space="preserve">the notion that the MGS has an affinity, (has specific knowledge) of the market application </w:t>
      </w:r>
      <w:r w:rsidR="00086451" w:rsidRPr="00F4225A">
        <w:rPr>
          <w:rFonts w:asciiTheme="majorHAnsi" w:hAnsiTheme="majorHAnsi"/>
          <w:b/>
        </w:rPr>
        <w:t xml:space="preserve">(end-use) </w:t>
      </w:r>
      <w:r w:rsidR="00D91DDB" w:rsidRPr="00F4225A">
        <w:rPr>
          <w:rFonts w:asciiTheme="majorHAnsi" w:hAnsiTheme="majorHAnsi"/>
          <w:b/>
        </w:rPr>
        <w:t xml:space="preserve">of the innovative </w:t>
      </w:r>
      <w:r w:rsidR="00086451" w:rsidRPr="00F4225A">
        <w:rPr>
          <w:rFonts w:asciiTheme="majorHAnsi" w:hAnsiTheme="majorHAnsi"/>
          <w:b/>
        </w:rPr>
        <w:t>solution</w:t>
      </w:r>
      <w:r w:rsidR="00D91DDB" w:rsidRPr="00F4225A">
        <w:rPr>
          <w:rFonts w:asciiTheme="majorHAnsi" w:hAnsiTheme="majorHAnsi"/>
          <w:b/>
        </w:rPr>
        <w:t xml:space="preserve"> provided by the innovative SME, and not necessarily based on MGS affinity with the borrower</w:t>
      </w:r>
      <w:r w:rsidR="00D91DDB">
        <w:rPr>
          <w:rFonts w:asciiTheme="majorHAnsi" w:hAnsiTheme="majorHAnsi"/>
        </w:rPr>
        <w:t xml:space="preserve">. This type of affinity can </w:t>
      </w:r>
      <w:r w:rsidR="00086451">
        <w:rPr>
          <w:rFonts w:asciiTheme="majorHAnsi" w:hAnsiTheme="majorHAnsi"/>
        </w:rPr>
        <w:t xml:space="preserve">thus </w:t>
      </w:r>
      <w:r w:rsidR="00D91DDB">
        <w:rPr>
          <w:rFonts w:asciiTheme="majorHAnsi" w:hAnsiTheme="majorHAnsi"/>
        </w:rPr>
        <w:t xml:space="preserve">be </w:t>
      </w:r>
      <w:r w:rsidR="00D91DDB" w:rsidRPr="00F4225A">
        <w:rPr>
          <w:rFonts w:asciiTheme="majorHAnsi" w:hAnsiTheme="majorHAnsi"/>
          <w:b/>
        </w:rPr>
        <w:t xml:space="preserve">described as </w:t>
      </w:r>
      <w:r w:rsidR="00D91DDB" w:rsidRPr="00F4225A">
        <w:rPr>
          <w:rFonts w:asciiTheme="majorHAnsi" w:hAnsiTheme="majorHAnsi"/>
          <w:b/>
          <w:i/>
        </w:rPr>
        <w:t>lender-end-use market affinity</w:t>
      </w:r>
      <w:r w:rsidR="00D91DDB" w:rsidRPr="00F4225A">
        <w:rPr>
          <w:rFonts w:asciiTheme="majorHAnsi" w:hAnsiTheme="majorHAnsi"/>
          <w:b/>
        </w:rPr>
        <w:t>.</w:t>
      </w:r>
      <w:r w:rsidR="00086451">
        <w:rPr>
          <w:rFonts w:asciiTheme="majorHAnsi" w:hAnsiTheme="majorHAnsi"/>
        </w:rPr>
        <w:t xml:space="preserve"> </w:t>
      </w:r>
    </w:p>
    <w:p w:rsidR="00BB229B" w:rsidRDefault="00BB229B">
      <w:pPr>
        <w:rPr>
          <w:rFonts w:asciiTheme="majorHAnsi" w:hAnsiTheme="majorHAnsi"/>
        </w:rPr>
      </w:pPr>
      <w:r>
        <w:rPr>
          <w:rFonts w:asciiTheme="majorHAnsi" w:hAnsiTheme="majorHAnsi"/>
        </w:rPr>
        <w:br w:type="page"/>
      </w:r>
    </w:p>
    <w:p w:rsidR="0029110F" w:rsidRPr="00D93B37" w:rsidRDefault="0029110F" w:rsidP="00D93B37">
      <w:pPr>
        <w:rPr>
          <w:b/>
        </w:rPr>
      </w:pPr>
      <w:r w:rsidRPr="00D93B37">
        <w:rPr>
          <w:b/>
        </w:rPr>
        <w:lastRenderedPageBreak/>
        <w:t xml:space="preserve">Figure </w:t>
      </w:r>
      <w:r w:rsidRPr="00D93B37">
        <w:rPr>
          <w:b/>
          <w:color w:val="FF0000"/>
        </w:rPr>
        <w:t>X</w:t>
      </w:r>
      <w:r w:rsidRPr="00D93B37">
        <w:rPr>
          <w:b/>
        </w:rPr>
        <w:t xml:space="preserve">: The Regulatory Dynamics </w:t>
      </w:r>
      <w:proofErr w:type="gramStart"/>
      <w:r w:rsidRPr="00D93B37">
        <w:rPr>
          <w:b/>
        </w:rPr>
        <w:t>With</w:t>
      </w:r>
      <w:proofErr w:type="gramEnd"/>
      <w:r w:rsidRPr="00D93B37">
        <w:rPr>
          <w:b/>
        </w:rPr>
        <w:t xml:space="preserve"> Techno</w:t>
      </w:r>
      <w:r w:rsidR="004A2446">
        <w:rPr>
          <w:b/>
        </w:rPr>
        <w:t>-</w:t>
      </w:r>
      <w:r w:rsidRPr="00D93B37">
        <w:rPr>
          <w:b/>
        </w:rPr>
        <w:t>centric New Entrants and MGS</w:t>
      </w:r>
    </w:p>
    <w:p w:rsidR="000E7157" w:rsidRDefault="0029110F" w:rsidP="008937A8">
      <w:pPr>
        <w:spacing w:after="120"/>
        <w:rPr>
          <w:rFonts w:asciiTheme="majorHAnsi" w:hAnsiTheme="majorHAnsi"/>
        </w:rPr>
      </w:pPr>
      <w:r w:rsidRPr="0029110F">
        <w:rPr>
          <w:noProof/>
        </w:rPr>
        <w:drawing>
          <wp:inline distT="0" distB="0" distL="0" distR="0" wp14:anchorId="7AC04A9A" wp14:editId="3DFAE4FD">
            <wp:extent cx="4571429" cy="3428572"/>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1429" cy="3428572"/>
                    </a:xfrm>
                    <a:prstGeom prst="rect">
                      <a:avLst/>
                    </a:prstGeom>
                  </pic:spPr>
                </pic:pic>
              </a:graphicData>
            </a:graphic>
          </wp:inline>
        </w:drawing>
      </w:r>
    </w:p>
    <w:p w:rsidR="00086451" w:rsidRDefault="00086451" w:rsidP="00086451">
      <w:pPr>
        <w:spacing w:after="120"/>
        <w:rPr>
          <w:rFonts w:asciiTheme="majorHAnsi" w:hAnsiTheme="majorHAnsi"/>
        </w:rPr>
      </w:pPr>
      <w:r>
        <w:rPr>
          <w:rFonts w:asciiTheme="majorHAnsi" w:hAnsiTheme="majorHAnsi"/>
        </w:rPr>
        <w:t>A second and critical MGS advantage</w:t>
      </w:r>
      <w:r w:rsidR="00614389">
        <w:rPr>
          <w:rFonts w:asciiTheme="majorHAnsi" w:hAnsiTheme="majorHAnsi"/>
        </w:rPr>
        <w:t xml:space="preserve"> in this arena is</w:t>
      </w:r>
      <w:r>
        <w:rPr>
          <w:rFonts w:asciiTheme="majorHAnsi" w:hAnsiTheme="majorHAnsi"/>
        </w:rPr>
        <w:t xml:space="preserve"> </w:t>
      </w:r>
      <w:r w:rsidR="004A2446">
        <w:rPr>
          <w:rFonts w:asciiTheme="majorHAnsi" w:hAnsiTheme="majorHAnsi"/>
        </w:rPr>
        <w:t>its</w:t>
      </w:r>
      <w:r>
        <w:rPr>
          <w:rFonts w:asciiTheme="majorHAnsi" w:hAnsiTheme="majorHAnsi"/>
        </w:rPr>
        <w:t xml:space="preserve"> long and deep knowledge how to lend to SMEs in its own sector. </w:t>
      </w:r>
      <w:r w:rsidR="0014539E">
        <w:rPr>
          <w:rFonts w:asciiTheme="majorHAnsi" w:hAnsiTheme="majorHAnsi"/>
        </w:rPr>
        <w:t xml:space="preserve">However, </w:t>
      </w:r>
      <w:r w:rsidR="0014539E" w:rsidRPr="008B6793">
        <w:rPr>
          <w:rFonts w:asciiTheme="majorHAnsi" w:hAnsiTheme="majorHAnsi"/>
          <w:b/>
        </w:rPr>
        <w:t>it is reasonable to assume that most</w:t>
      </w:r>
      <w:r w:rsidRPr="008B6793">
        <w:rPr>
          <w:rFonts w:asciiTheme="majorHAnsi" w:hAnsiTheme="majorHAnsi"/>
          <w:b/>
        </w:rPr>
        <w:t xml:space="preserve"> </w:t>
      </w:r>
      <w:r w:rsidR="008B6793" w:rsidRPr="008B6793">
        <w:rPr>
          <w:rFonts w:asciiTheme="majorHAnsi" w:hAnsiTheme="majorHAnsi"/>
          <w:b/>
        </w:rPr>
        <w:t>I</w:t>
      </w:r>
      <w:r w:rsidRPr="008B6793">
        <w:rPr>
          <w:rFonts w:asciiTheme="majorHAnsi" w:hAnsiTheme="majorHAnsi"/>
          <w:b/>
        </w:rPr>
        <w:t xml:space="preserve">nnovative SME </w:t>
      </w:r>
      <w:r w:rsidR="0014539E" w:rsidRPr="008B6793">
        <w:rPr>
          <w:rFonts w:asciiTheme="majorHAnsi" w:hAnsiTheme="majorHAnsi"/>
          <w:b/>
        </w:rPr>
        <w:t>to be financed by MGS will not directly operate in the specific sector covered by the MGS</w:t>
      </w:r>
      <w:r w:rsidR="0014539E">
        <w:rPr>
          <w:rFonts w:asciiTheme="majorHAnsi" w:hAnsiTheme="majorHAnsi"/>
        </w:rPr>
        <w:t xml:space="preserve">. As a result, the MGS will need to extend its well-established </w:t>
      </w:r>
      <w:r w:rsidR="008B6793">
        <w:rPr>
          <w:rFonts w:asciiTheme="majorHAnsi" w:hAnsiTheme="majorHAnsi"/>
        </w:rPr>
        <w:t>capacity</w:t>
      </w:r>
      <w:r w:rsidR="0014539E">
        <w:rPr>
          <w:rFonts w:asciiTheme="majorHAnsi" w:hAnsiTheme="majorHAnsi"/>
        </w:rPr>
        <w:t xml:space="preserve"> to lend to SMEs in its own sector to an ability to lend to the spec</w:t>
      </w:r>
      <w:r w:rsidR="00DA4679">
        <w:rPr>
          <w:rFonts w:asciiTheme="majorHAnsi" w:hAnsiTheme="majorHAnsi"/>
        </w:rPr>
        <w:t>ific segments of innovative SMEs</w:t>
      </w:r>
      <w:r w:rsidR="0014539E">
        <w:rPr>
          <w:rFonts w:asciiTheme="majorHAnsi" w:hAnsiTheme="majorHAnsi"/>
        </w:rPr>
        <w:t xml:space="preserve"> that provide innovative solutions for the sector covered by the MGS, </w:t>
      </w:r>
      <w:r w:rsidR="004A2446">
        <w:rPr>
          <w:rFonts w:asciiTheme="majorHAnsi" w:hAnsiTheme="majorHAnsi"/>
        </w:rPr>
        <w:t>and</w:t>
      </w:r>
      <w:r w:rsidR="0014539E">
        <w:rPr>
          <w:rFonts w:asciiTheme="majorHAnsi" w:hAnsiTheme="majorHAnsi"/>
        </w:rPr>
        <w:t xml:space="preserve"> are not part of the MGS domain.</w:t>
      </w:r>
      <w:r w:rsidR="00614389">
        <w:rPr>
          <w:rFonts w:asciiTheme="majorHAnsi" w:hAnsiTheme="majorHAnsi"/>
        </w:rPr>
        <w:t xml:space="preserve"> </w:t>
      </w:r>
      <w:r w:rsidR="00614389" w:rsidRPr="008B6793">
        <w:rPr>
          <w:rFonts w:asciiTheme="majorHAnsi" w:hAnsiTheme="majorHAnsi"/>
          <w:b/>
        </w:rPr>
        <w:t>The MGS will need to extend its well-established lender-borrower affinity to a new lender-end-use market affinity</w:t>
      </w:r>
      <w:r w:rsidR="00614389">
        <w:rPr>
          <w:rFonts w:asciiTheme="majorHAnsi" w:hAnsiTheme="majorHAnsi"/>
        </w:rPr>
        <w:t>.</w:t>
      </w:r>
    </w:p>
    <w:p w:rsidR="001D6C80" w:rsidRDefault="001D6C80" w:rsidP="001D6C80">
      <w:pPr>
        <w:pStyle w:val="Heading2"/>
      </w:pPr>
      <w:bookmarkStart w:id="10" w:name="_Toc430353395"/>
      <w:r>
        <w:t>MGS will need to shift operational capacities and market focus</w:t>
      </w:r>
      <w:bookmarkEnd w:id="10"/>
    </w:p>
    <w:p w:rsidR="002A0887" w:rsidRDefault="00E96D78" w:rsidP="00086451">
      <w:pPr>
        <w:spacing w:after="120"/>
        <w:rPr>
          <w:rFonts w:asciiTheme="majorHAnsi" w:hAnsiTheme="majorHAnsi"/>
        </w:rPr>
      </w:pPr>
      <w:r>
        <w:rPr>
          <w:rFonts w:asciiTheme="majorHAnsi" w:hAnsiTheme="majorHAnsi"/>
        </w:rPr>
        <w:t xml:space="preserve">Shifting from lender-borrower affinity financing to financing based on the lender-end-use affinity </w:t>
      </w:r>
      <w:r w:rsidR="00614389">
        <w:rPr>
          <w:rFonts w:asciiTheme="majorHAnsi" w:hAnsiTheme="majorHAnsi"/>
        </w:rPr>
        <w:t>shift i</w:t>
      </w:r>
      <w:r>
        <w:rPr>
          <w:rFonts w:asciiTheme="majorHAnsi" w:hAnsiTheme="majorHAnsi"/>
        </w:rPr>
        <w:t xml:space="preserve">mplies meaningful refocusing, indeed expanding, </w:t>
      </w:r>
      <w:r w:rsidR="002A0887">
        <w:rPr>
          <w:rFonts w:asciiTheme="majorHAnsi" w:hAnsiTheme="majorHAnsi"/>
        </w:rPr>
        <w:t>MGS</w:t>
      </w:r>
      <w:r w:rsidR="00614389">
        <w:rPr>
          <w:rFonts w:asciiTheme="majorHAnsi" w:hAnsiTheme="majorHAnsi"/>
        </w:rPr>
        <w:t xml:space="preserve"> operational capacities and market focus.</w:t>
      </w:r>
      <w:r w:rsidR="001D6C80">
        <w:rPr>
          <w:rFonts w:asciiTheme="majorHAnsi" w:hAnsiTheme="majorHAnsi"/>
        </w:rPr>
        <w:t xml:space="preserve"> </w:t>
      </w:r>
      <w:r w:rsidR="002A0887">
        <w:rPr>
          <w:rFonts w:asciiTheme="majorHAnsi" w:hAnsiTheme="majorHAnsi"/>
        </w:rPr>
        <w:t xml:space="preserve">While the MGS may have an advantage assessing the potential end-use market of the innovative solution provided by the SME, it is reasonable to expect that it does not have the capacity of the </w:t>
      </w:r>
      <w:r>
        <w:rPr>
          <w:rFonts w:asciiTheme="majorHAnsi" w:hAnsiTheme="majorHAnsi"/>
        </w:rPr>
        <w:t>asses</w:t>
      </w:r>
      <w:r w:rsidR="00DA4679">
        <w:rPr>
          <w:rFonts w:asciiTheme="majorHAnsi" w:hAnsiTheme="majorHAnsi"/>
        </w:rPr>
        <w:t>s</w:t>
      </w:r>
      <w:r>
        <w:rPr>
          <w:rFonts w:asciiTheme="majorHAnsi" w:hAnsiTheme="majorHAnsi"/>
        </w:rPr>
        <w:t xml:space="preserve"> the </w:t>
      </w:r>
      <w:r>
        <w:rPr>
          <w:rFonts w:asciiTheme="majorHAnsi" w:hAnsiTheme="majorHAnsi"/>
          <w:i/>
        </w:rPr>
        <w:t>Scientific V</w:t>
      </w:r>
      <w:r w:rsidR="002A0887" w:rsidRPr="00E96D78">
        <w:rPr>
          <w:rFonts w:asciiTheme="majorHAnsi" w:hAnsiTheme="majorHAnsi"/>
          <w:i/>
        </w:rPr>
        <w:t>alidity</w:t>
      </w:r>
      <w:r w:rsidR="002A0887">
        <w:rPr>
          <w:rFonts w:asciiTheme="majorHAnsi" w:hAnsiTheme="majorHAnsi"/>
        </w:rPr>
        <w:t xml:space="preserve"> of the specific innovative solution </w:t>
      </w:r>
      <w:r w:rsidR="00EC2312">
        <w:rPr>
          <w:rFonts w:asciiTheme="majorHAnsi" w:hAnsiTheme="majorHAnsi"/>
        </w:rPr>
        <w:t>proposed</w:t>
      </w:r>
      <w:r w:rsidR="002A0887">
        <w:rPr>
          <w:rFonts w:asciiTheme="majorHAnsi" w:hAnsiTheme="majorHAnsi"/>
        </w:rPr>
        <w:t xml:space="preserve"> by the</w:t>
      </w:r>
      <w:r w:rsidR="00EC2312">
        <w:rPr>
          <w:rFonts w:asciiTheme="majorHAnsi" w:hAnsiTheme="majorHAnsi"/>
        </w:rPr>
        <w:t xml:space="preserve"> Innovative</w:t>
      </w:r>
      <w:r w:rsidR="002A0887">
        <w:rPr>
          <w:rFonts w:asciiTheme="majorHAnsi" w:hAnsiTheme="majorHAnsi"/>
        </w:rPr>
        <w:t xml:space="preserve"> SME</w:t>
      </w:r>
      <w:r>
        <w:rPr>
          <w:rStyle w:val="FootnoteReference"/>
          <w:rFonts w:asciiTheme="majorHAnsi" w:hAnsiTheme="majorHAnsi"/>
        </w:rPr>
        <w:footnoteReference w:id="27"/>
      </w:r>
      <w:r w:rsidR="002A0887">
        <w:rPr>
          <w:rFonts w:asciiTheme="majorHAnsi" w:hAnsiTheme="majorHAnsi"/>
        </w:rPr>
        <w:t>. This knowledge gap can be easily addressed by incorporating scientific experts in the MGS itself</w:t>
      </w:r>
      <w:r w:rsidR="00EC2312">
        <w:rPr>
          <w:rFonts w:asciiTheme="majorHAnsi" w:hAnsiTheme="majorHAnsi"/>
        </w:rPr>
        <w:t>, or</w:t>
      </w:r>
      <w:r w:rsidR="002A0887">
        <w:rPr>
          <w:rFonts w:asciiTheme="majorHAnsi" w:hAnsiTheme="majorHAnsi"/>
        </w:rPr>
        <w:t xml:space="preserve"> in a subdivision of the MGS.</w:t>
      </w:r>
    </w:p>
    <w:p w:rsidR="002A0887" w:rsidRDefault="002A0887" w:rsidP="00086451">
      <w:pPr>
        <w:spacing w:after="120"/>
        <w:rPr>
          <w:rFonts w:asciiTheme="majorHAnsi" w:hAnsiTheme="majorHAnsi"/>
        </w:rPr>
      </w:pPr>
      <w:r>
        <w:rPr>
          <w:rFonts w:asciiTheme="majorHAnsi" w:hAnsiTheme="majorHAnsi"/>
        </w:rPr>
        <w:t xml:space="preserve">This method of incorporating scientific knowledge </w:t>
      </w:r>
      <w:r w:rsidR="00BD194F">
        <w:rPr>
          <w:rFonts w:asciiTheme="majorHAnsi" w:hAnsiTheme="majorHAnsi"/>
        </w:rPr>
        <w:t xml:space="preserve">in the MGS </w:t>
      </w:r>
      <w:r>
        <w:rPr>
          <w:rFonts w:asciiTheme="majorHAnsi" w:hAnsiTheme="majorHAnsi"/>
        </w:rPr>
        <w:t xml:space="preserve">is very different than the </w:t>
      </w:r>
      <w:r w:rsidR="00EC2312">
        <w:rPr>
          <w:rFonts w:asciiTheme="majorHAnsi" w:hAnsiTheme="majorHAnsi"/>
          <w:i/>
        </w:rPr>
        <w:t>Rating Board Evaluation M</w:t>
      </w:r>
      <w:r w:rsidRPr="002A0887">
        <w:rPr>
          <w:rFonts w:asciiTheme="majorHAnsi" w:hAnsiTheme="majorHAnsi"/>
          <w:i/>
        </w:rPr>
        <w:t>ethod</w:t>
      </w:r>
      <w:r>
        <w:rPr>
          <w:rFonts w:asciiTheme="majorHAnsi" w:hAnsiTheme="majorHAnsi"/>
        </w:rPr>
        <w:t>, where a group of subject-matter experts are asked to rate a singular or set of innovative solutions for their scientific and possibly end-use market potential.</w:t>
      </w:r>
      <w:r w:rsidR="00BD194F">
        <w:rPr>
          <w:rFonts w:asciiTheme="majorHAnsi" w:hAnsiTheme="majorHAnsi"/>
        </w:rPr>
        <w:t xml:space="preserve"> The critical </w:t>
      </w:r>
      <w:r w:rsidR="00BD194F">
        <w:rPr>
          <w:rFonts w:asciiTheme="majorHAnsi" w:hAnsiTheme="majorHAnsi"/>
        </w:rPr>
        <w:lastRenderedPageBreak/>
        <w:t>differentiating factor between these two methods is that the MGS met</w:t>
      </w:r>
      <w:r w:rsidR="00EC2312">
        <w:rPr>
          <w:rFonts w:asciiTheme="majorHAnsi" w:hAnsiTheme="majorHAnsi"/>
        </w:rPr>
        <w:t>hod requires that the scientific evaluators</w:t>
      </w:r>
      <w:r w:rsidR="00BD194F">
        <w:rPr>
          <w:rFonts w:asciiTheme="majorHAnsi" w:hAnsiTheme="majorHAnsi"/>
        </w:rPr>
        <w:t xml:space="preserve"> contribute a certain amount of </w:t>
      </w:r>
      <w:r w:rsidR="00BD194F" w:rsidRPr="00BD194F">
        <w:rPr>
          <w:rFonts w:asciiTheme="majorHAnsi" w:hAnsiTheme="majorHAnsi"/>
          <w:b/>
        </w:rPr>
        <w:t>their own capital</w:t>
      </w:r>
      <w:r w:rsidR="00BD194F">
        <w:rPr>
          <w:rFonts w:asciiTheme="majorHAnsi" w:hAnsiTheme="majorHAnsi"/>
        </w:rPr>
        <w:t xml:space="preserve"> to the MGS</w:t>
      </w:r>
      <w:r w:rsidR="00EC2312">
        <w:rPr>
          <w:rFonts w:asciiTheme="majorHAnsi" w:hAnsiTheme="majorHAnsi"/>
        </w:rPr>
        <w:t>, or to the financing of the specific innovation they are rating</w:t>
      </w:r>
      <w:r w:rsidR="00BD194F">
        <w:rPr>
          <w:rFonts w:asciiTheme="majorHAnsi" w:hAnsiTheme="majorHAnsi"/>
        </w:rPr>
        <w:t>, but the rating board method does not include this requirement. Plainly stated</w:t>
      </w:r>
      <w:r w:rsidR="00EC2312">
        <w:rPr>
          <w:rFonts w:asciiTheme="majorHAnsi" w:hAnsiTheme="majorHAnsi"/>
        </w:rPr>
        <w:t>,</w:t>
      </w:r>
      <w:r w:rsidR="00BD194F">
        <w:rPr>
          <w:rFonts w:asciiTheme="majorHAnsi" w:hAnsiTheme="majorHAnsi"/>
        </w:rPr>
        <w:t xml:space="preserve"> the MGS method requires that the evaluation be backe</w:t>
      </w:r>
      <w:r w:rsidR="00DA4679">
        <w:rPr>
          <w:rFonts w:asciiTheme="majorHAnsi" w:hAnsiTheme="majorHAnsi"/>
        </w:rPr>
        <w:t>d by the evaluators’</w:t>
      </w:r>
      <w:r w:rsidR="00EC2312">
        <w:rPr>
          <w:rFonts w:asciiTheme="majorHAnsi" w:hAnsiTheme="majorHAnsi"/>
        </w:rPr>
        <w:t xml:space="preserve"> own capital;</w:t>
      </w:r>
      <w:r w:rsidR="00BD194F">
        <w:rPr>
          <w:rFonts w:asciiTheme="majorHAnsi" w:hAnsiTheme="majorHAnsi"/>
        </w:rPr>
        <w:t xml:space="preserve"> evaluator</w:t>
      </w:r>
      <w:r w:rsidR="00EC2312">
        <w:rPr>
          <w:rFonts w:asciiTheme="majorHAnsi" w:hAnsiTheme="majorHAnsi"/>
        </w:rPr>
        <w:t>s</w:t>
      </w:r>
      <w:r w:rsidR="00BD194F">
        <w:rPr>
          <w:rFonts w:asciiTheme="majorHAnsi" w:hAnsiTheme="majorHAnsi"/>
        </w:rPr>
        <w:t xml:space="preserve"> </w:t>
      </w:r>
      <w:r w:rsidR="00EC2312">
        <w:rPr>
          <w:rFonts w:asciiTheme="majorHAnsi" w:hAnsiTheme="majorHAnsi"/>
        </w:rPr>
        <w:t xml:space="preserve">are </w:t>
      </w:r>
      <w:r w:rsidR="00BD194F">
        <w:rPr>
          <w:rFonts w:asciiTheme="majorHAnsi" w:hAnsiTheme="majorHAnsi"/>
        </w:rPr>
        <w:t xml:space="preserve">asked to put in sufficient “skin in the game” to influence </w:t>
      </w:r>
      <w:r w:rsidR="00EC2312">
        <w:rPr>
          <w:rFonts w:asciiTheme="majorHAnsi" w:hAnsiTheme="majorHAnsi"/>
        </w:rPr>
        <w:t xml:space="preserve">their rating </w:t>
      </w:r>
      <w:r w:rsidR="00BD194F">
        <w:rPr>
          <w:rFonts w:asciiTheme="majorHAnsi" w:hAnsiTheme="majorHAnsi"/>
        </w:rPr>
        <w:t>decisions.</w:t>
      </w:r>
    </w:p>
    <w:p w:rsidR="00BD194F" w:rsidRPr="00D93B37" w:rsidRDefault="00BD194F" w:rsidP="00D93B37">
      <w:pPr>
        <w:rPr>
          <w:b/>
        </w:rPr>
      </w:pPr>
      <w:r w:rsidRPr="00D93B37">
        <w:rPr>
          <w:b/>
        </w:rPr>
        <w:t xml:space="preserve">Figure </w:t>
      </w:r>
      <w:r w:rsidRPr="00D93B37">
        <w:rPr>
          <w:b/>
          <w:color w:val="FF0000"/>
        </w:rPr>
        <w:t>X</w:t>
      </w:r>
      <w:r w:rsidRPr="00D93B37">
        <w:rPr>
          <w:b/>
        </w:rPr>
        <w:t xml:space="preserve">: The Regulatory Dynamics </w:t>
      </w:r>
      <w:r w:rsidR="00C6054D" w:rsidRPr="00D93B37">
        <w:rPr>
          <w:b/>
        </w:rPr>
        <w:t>with</w:t>
      </w:r>
      <w:r w:rsidR="00C6054D">
        <w:rPr>
          <w:b/>
        </w:rPr>
        <w:t xml:space="preserve"> t</w:t>
      </w:r>
      <w:r w:rsidRPr="00D93B37">
        <w:rPr>
          <w:b/>
        </w:rPr>
        <w:t>echno</w:t>
      </w:r>
      <w:r w:rsidR="008B572C">
        <w:rPr>
          <w:b/>
        </w:rPr>
        <w:t>-</w:t>
      </w:r>
      <w:r w:rsidR="00C6054D">
        <w:rPr>
          <w:b/>
        </w:rPr>
        <w:t>centric new entrants, MGS and rating b</w:t>
      </w:r>
      <w:r w:rsidRPr="00D93B37">
        <w:rPr>
          <w:b/>
        </w:rPr>
        <w:t>oards</w:t>
      </w:r>
    </w:p>
    <w:p w:rsidR="002A0887" w:rsidRDefault="00BD194F" w:rsidP="00086451">
      <w:pPr>
        <w:spacing w:after="120"/>
        <w:rPr>
          <w:rFonts w:asciiTheme="majorHAnsi" w:hAnsiTheme="majorHAnsi"/>
        </w:rPr>
      </w:pPr>
      <w:r w:rsidRPr="00BD194F">
        <w:rPr>
          <w:noProof/>
        </w:rPr>
        <w:drawing>
          <wp:inline distT="0" distB="0" distL="0" distR="0" wp14:anchorId="2C91317A" wp14:editId="5923E139">
            <wp:extent cx="4571429" cy="3428572"/>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1429" cy="3428572"/>
                    </a:xfrm>
                    <a:prstGeom prst="rect">
                      <a:avLst/>
                    </a:prstGeom>
                  </pic:spPr>
                </pic:pic>
              </a:graphicData>
            </a:graphic>
          </wp:inline>
        </w:drawing>
      </w:r>
    </w:p>
    <w:p w:rsidR="00614389" w:rsidRDefault="002A0887" w:rsidP="00086451">
      <w:pPr>
        <w:spacing w:after="120"/>
        <w:rPr>
          <w:rFonts w:asciiTheme="majorHAnsi" w:hAnsiTheme="majorHAnsi"/>
        </w:rPr>
      </w:pPr>
      <w:r>
        <w:rPr>
          <w:rFonts w:asciiTheme="majorHAnsi" w:hAnsiTheme="majorHAnsi"/>
        </w:rPr>
        <w:t>Second the</w:t>
      </w:r>
      <w:r w:rsidR="001D6C80">
        <w:rPr>
          <w:rFonts w:asciiTheme="majorHAnsi" w:hAnsiTheme="majorHAnsi"/>
        </w:rPr>
        <w:t xml:space="preserve"> MGS will need to gain an understanding of the potential ability of an innovative SME to develop and manage innovation. Fortunately there are a few entities that provide services to address this knowledge gap. </w:t>
      </w:r>
      <w:r w:rsidR="00D66885">
        <w:rPr>
          <w:rFonts w:asciiTheme="majorHAnsi" w:hAnsiTheme="majorHAnsi"/>
        </w:rPr>
        <w:t>IMP</w:t>
      </w:r>
      <w:r w:rsidR="00DA4679" w:rsidRPr="00DA4679">
        <w:rPr>
          <w:rFonts w:asciiTheme="majorHAnsi" w:hAnsiTheme="majorHAnsi"/>
          <w:vertAlign w:val="superscript"/>
        </w:rPr>
        <w:t>3</w:t>
      </w:r>
      <w:r w:rsidR="00D66885">
        <w:rPr>
          <w:rFonts w:asciiTheme="majorHAnsi" w:hAnsiTheme="majorHAnsi"/>
        </w:rPr>
        <w:t xml:space="preserve">rove Academy &lt; </w:t>
      </w:r>
      <w:hyperlink r:id="rId20" w:history="1">
        <w:r w:rsidR="00D66885" w:rsidRPr="00E778F4">
          <w:rPr>
            <w:rStyle w:val="Hyperlink"/>
            <w:rFonts w:asciiTheme="majorHAnsi" w:hAnsiTheme="majorHAnsi"/>
          </w:rPr>
          <w:t>www.improve-innovation.eu/</w:t>
        </w:r>
      </w:hyperlink>
      <w:r w:rsidR="00D66885">
        <w:rPr>
          <w:rFonts w:asciiTheme="majorHAnsi" w:hAnsiTheme="majorHAnsi"/>
        </w:rPr>
        <w:t xml:space="preserve"> &gt; and </w:t>
      </w:r>
      <w:r w:rsidR="00D66885" w:rsidRPr="00D66885">
        <w:rPr>
          <w:rFonts w:asciiTheme="majorHAnsi" w:hAnsiTheme="majorHAnsi"/>
        </w:rPr>
        <w:t xml:space="preserve">Korea Technology Finance </w:t>
      </w:r>
      <w:proofErr w:type="gramStart"/>
      <w:r w:rsidR="00D66885" w:rsidRPr="00D66885">
        <w:rPr>
          <w:rFonts w:asciiTheme="majorHAnsi" w:hAnsiTheme="majorHAnsi"/>
        </w:rPr>
        <w:t>Corporation(</w:t>
      </w:r>
      <w:proofErr w:type="gramEnd"/>
      <w:r w:rsidR="00D66885" w:rsidRPr="00D66885">
        <w:rPr>
          <w:rFonts w:asciiTheme="majorHAnsi" w:hAnsiTheme="majorHAnsi"/>
        </w:rPr>
        <w:t>KOTEC)</w:t>
      </w:r>
      <w:r w:rsidR="00D66885">
        <w:rPr>
          <w:rFonts w:asciiTheme="majorHAnsi" w:hAnsiTheme="majorHAnsi"/>
        </w:rPr>
        <w:t xml:space="preserve"> &lt;</w:t>
      </w:r>
      <w:r w:rsidR="00D66885" w:rsidRPr="00D66885">
        <w:t xml:space="preserve"> </w:t>
      </w:r>
      <w:hyperlink r:id="rId21" w:history="1">
        <w:r w:rsidR="00D66885" w:rsidRPr="00E778F4">
          <w:rPr>
            <w:rStyle w:val="Hyperlink"/>
            <w:rFonts w:asciiTheme="majorHAnsi" w:hAnsiTheme="majorHAnsi"/>
          </w:rPr>
          <w:t>http://www.kibo.or.kr/src/english/</w:t>
        </w:r>
      </w:hyperlink>
      <w:r w:rsidR="00D66885">
        <w:rPr>
          <w:rFonts w:asciiTheme="majorHAnsi" w:hAnsiTheme="majorHAnsi"/>
        </w:rPr>
        <w:t xml:space="preserve"> &gt;. These firms </w:t>
      </w:r>
      <w:r>
        <w:rPr>
          <w:rFonts w:asciiTheme="majorHAnsi" w:hAnsiTheme="majorHAnsi"/>
        </w:rPr>
        <w:t>analyze the history of an innovative SME and provide an</w:t>
      </w:r>
      <w:r w:rsidR="00D66885">
        <w:rPr>
          <w:rFonts w:asciiTheme="majorHAnsi" w:hAnsiTheme="majorHAnsi"/>
        </w:rPr>
        <w:t xml:space="preserve"> </w:t>
      </w:r>
      <w:r>
        <w:rPr>
          <w:rFonts w:asciiTheme="majorHAnsi" w:hAnsiTheme="majorHAnsi"/>
        </w:rPr>
        <w:t xml:space="preserve">assessment of the SME’s ability to </w:t>
      </w:r>
      <w:r w:rsidR="00D66885">
        <w:rPr>
          <w:rFonts w:asciiTheme="majorHAnsi" w:hAnsiTheme="majorHAnsi"/>
        </w:rPr>
        <w:t>develop</w:t>
      </w:r>
      <w:r>
        <w:rPr>
          <w:rFonts w:asciiTheme="majorHAnsi" w:hAnsiTheme="majorHAnsi"/>
        </w:rPr>
        <w:t xml:space="preserve"> and manage innovation</w:t>
      </w:r>
      <w:r>
        <w:rPr>
          <w:rStyle w:val="FootnoteReference"/>
          <w:rFonts w:asciiTheme="majorHAnsi" w:hAnsiTheme="majorHAnsi"/>
        </w:rPr>
        <w:footnoteReference w:id="28"/>
      </w:r>
      <w:r>
        <w:rPr>
          <w:rFonts w:asciiTheme="majorHAnsi" w:hAnsiTheme="majorHAnsi"/>
        </w:rPr>
        <w:t>.</w:t>
      </w:r>
    </w:p>
    <w:p w:rsidR="00086451" w:rsidRDefault="00C6054D" w:rsidP="00A623D3">
      <w:pPr>
        <w:pStyle w:val="Heading2"/>
      </w:pPr>
      <w:bookmarkStart w:id="11" w:name="_Toc430353396"/>
      <w:r>
        <w:t>Leveraging operational a</w:t>
      </w:r>
      <w:r w:rsidR="00A623D3">
        <w:t>ggregatio</w:t>
      </w:r>
      <w:r>
        <w:t>n to address issues of s</w:t>
      </w:r>
      <w:r w:rsidR="00A623D3">
        <w:t>ize</w:t>
      </w:r>
      <w:bookmarkEnd w:id="11"/>
    </w:p>
    <w:p w:rsidR="002279DB" w:rsidRDefault="00A623D3" w:rsidP="008937A8">
      <w:pPr>
        <w:spacing w:after="120"/>
        <w:rPr>
          <w:rFonts w:asciiTheme="majorHAnsi" w:hAnsiTheme="majorHAnsi"/>
        </w:rPr>
      </w:pPr>
      <w:r>
        <w:rPr>
          <w:rFonts w:asciiTheme="majorHAnsi" w:hAnsiTheme="majorHAnsi"/>
        </w:rPr>
        <w:t xml:space="preserve">There are many rather obvious advantages to implementing this method by incorporating many MGS, </w:t>
      </w:r>
      <w:r w:rsidR="00AD3D81">
        <w:rPr>
          <w:rFonts w:asciiTheme="majorHAnsi" w:hAnsiTheme="majorHAnsi"/>
        </w:rPr>
        <w:t xml:space="preserve">and </w:t>
      </w:r>
      <w:r>
        <w:rPr>
          <w:rFonts w:asciiTheme="majorHAnsi" w:hAnsiTheme="majorHAnsi"/>
        </w:rPr>
        <w:t xml:space="preserve">regional and national governments. For example, </w:t>
      </w:r>
      <w:r w:rsidR="007724C6">
        <w:rPr>
          <w:rFonts w:asciiTheme="majorHAnsi" w:hAnsiTheme="majorHAnsi"/>
        </w:rPr>
        <w:t xml:space="preserve">on the demand side, </w:t>
      </w:r>
      <w:r>
        <w:rPr>
          <w:rFonts w:asciiTheme="majorHAnsi" w:hAnsiTheme="majorHAnsi"/>
        </w:rPr>
        <w:t xml:space="preserve">there may not be sufficient innovation being targeted </w:t>
      </w:r>
      <w:r w:rsidR="007724C6">
        <w:rPr>
          <w:rFonts w:asciiTheme="majorHAnsi" w:hAnsiTheme="majorHAnsi"/>
        </w:rPr>
        <w:t>at</w:t>
      </w:r>
      <w:r>
        <w:rPr>
          <w:rFonts w:asciiTheme="majorHAnsi" w:hAnsiTheme="majorHAnsi"/>
        </w:rPr>
        <w:t xml:space="preserve"> any one sector, or there may not be enough innovative SMEs targeting any one specific sector</w:t>
      </w:r>
      <w:r w:rsidR="007724C6">
        <w:rPr>
          <w:rFonts w:asciiTheme="majorHAnsi" w:hAnsiTheme="majorHAnsi"/>
        </w:rPr>
        <w:t xml:space="preserve"> to justify allocating scarce resources to such an endeavor</w:t>
      </w:r>
      <w:r>
        <w:rPr>
          <w:rFonts w:asciiTheme="majorHAnsi" w:hAnsiTheme="majorHAnsi"/>
        </w:rPr>
        <w:t xml:space="preserve">. </w:t>
      </w:r>
    </w:p>
    <w:p w:rsidR="002279DB" w:rsidRDefault="007724C6" w:rsidP="008937A8">
      <w:pPr>
        <w:spacing w:after="120"/>
        <w:rPr>
          <w:rFonts w:asciiTheme="majorHAnsi" w:hAnsiTheme="majorHAnsi"/>
        </w:rPr>
      </w:pPr>
      <w:r>
        <w:rPr>
          <w:rFonts w:asciiTheme="majorHAnsi" w:hAnsiTheme="majorHAnsi"/>
        </w:rPr>
        <w:t>Likewi</w:t>
      </w:r>
      <w:r w:rsidR="00AD3D81">
        <w:rPr>
          <w:rFonts w:asciiTheme="majorHAnsi" w:hAnsiTheme="majorHAnsi"/>
        </w:rPr>
        <w:t>se</w:t>
      </w:r>
      <w:r>
        <w:rPr>
          <w:rFonts w:asciiTheme="majorHAnsi" w:hAnsiTheme="majorHAnsi"/>
        </w:rPr>
        <w:t xml:space="preserve"> on the supply side</w:t>
      </w:r>
      <w:r w:rsidR="00AD3D81">
        <w:rPr>
          <w:rFonts w:asciiTheme="majorHAnsi" w:hAnsiTheme="majorHAnsi"/>
        </w:rPr>
        <w:t>,</w:t>
      </w:r>
      <w:r>
        <w:rPr>
          <w:rFonts w:asciiTheme="majorHAnsi" w:hAnsiTheme="majorHAnsi"/>
        </w:rPr>
        <w:t xml:space="preserve"> the required knowledge and operational capacity to implement such an approach might be too large for any single MGS, and to</w:t>
      </w:r>
      <w:r w:rsidR="0034188F">
        <w:rPr>
          <w:rFonts w:asciiTheme="majorHAnsi" w:hAnsiTheme="majorHAnsi"/>
        </w:rPr>
        <w:t>o</w:t>
      </w:r>
      <w:r>
        <w:rPr>
          <w:rFonts w:asciiTheme="majorHAnsi" w:hAnsiTheme="majorHAnsi"/>
        </w:rPr>
        <w:t xml:space="preserve"> expensive relative to the limited market </w:t>
      </w:r>
      <w:r>
        <w:rPr>
          <w:rFonts w:asciiTheme="majorHAnsi" w:hAnsiTheme="majorHAnsi"/>
        </w:rPr>
        <w:lastRenderedPageBreak/>
        <w:t>size of any single sector covered by any one MGS.</w:t>
      </w:r>
      <w:r w:rsidR="002279DB">
        <w:rPr>
          <w:rFonts w:asciiTheme="majorHAnsi" w:hAnsiTheme="majorHAnsi"/>
        </w:rPr>
        <w:t xml:space="preserve"> In addition, even though the number of investments and the dollar value of these investments might be small, the associated risk might be too high for any one MGS.</w:t>
      </w:r>
    </w:p>
    <w:p w:rsidR="00086451" w:rsidRDefault="002279DB" w:rsidP="008937A8">
      <w:pPr>
        <w:spacing w:after="120"/>
        <w:rPr>
          <w:rFonts w:asciiTheme="majorHAnsi" w:hAnsiTheme="majorHAnsi"/>
        </w:rPr>
      </w:pPr>
      <w:r>
        <w:rPr>
          <w:rFonts w:asciiTheme="majorHAnsi" w:hAnsiTheme="majorHAnsi"/>
        </w:rPr>
        <w:t xml:space="preserve">These size-related challenges, whether on the supply or demand side, can be addressed by aggregating MGS </w:t>
      </w:r>
      <w:r w:rsidR="00555B2D">
        <w:rPr>
          <w:rFonts w:asciiTheme="majorHAnsi" w:hAnsiTheme="majorHAnsi"/>
        </w:rPr>
        <w:t xml:space="preserve">at the society-level </w:t>
      </w:r>
      <w:r>
        <w:rPr>
          <w:rFonts w:asciiTheme="majorHAnsi" w:hAnsiTheme="majorHAnsi"/>
        </w:rPr>
        <w:t>and incorporating regional and national governments</w:t>
      </w:r>
      <w:r w:rsidR="00AD3D81">
        <w:rPr>
          <w:rFonts w:asciiTheme="majorHAnsi" w:hAnsiTheme="majorHAnsi"/>
        </w:rPr>
        <w:t xml:space="preserve"> </w:t>
      </w:r>
      <w:r w:rsidR="00AD3D81" w:rsidRPr="00AD3D81">
        <w:rPr>
          <w:rFonts w:asciiTheme="majorHAnsi" w:hAnsiTheme="majorHAnsi"/>
        </w:rPr>
        <w:t>that for a long time have been keenly interested in investing in innovative SMEs but have not been able to find a way to implement an acceptable credit decision process. Such collaboration would combine the sectorial-specific knowledge of individual MGS, the portfolio and operational capacities of the MGS group, and the financial scale of government entities</w:t>
      </w:r>
      <w:r>
        <w:rPr>
          <w:rFonts w:asciiTheme="majorHAnsi" w:hAnsiTheme="majorHAnsi"/>
        </w:rPr>
        <w:t>.</w:t>
      </w:r>
      <w:r w:rsidR="0077346A">
        <w:rPr>
          <w:rFonts w:asciiTheme="majorHAnsi" w:hAnsiTheme="majorHAnsi"/>
        </w:rPr>
        <w:t xml:space="preserve"> It is also reasonable to expect that such a concept be implemented as a small</w:t>
      </w:r>
      <w:r w:rsidR="00555B2D">
        <w:rPr>
          <w:rFonts w:asciiTheme="majorHAnsi" w:hAnsiTheme="majorHAnsi"/>
        </w:rPr>
        <w:t>,</w:t>
      </w:r>
      <w:r w:rsidR="0077346A">
        <w:rPr>
          <w:rFonts w:asciiTheme="majorHAnsi" w:hAnsiTheme="majorHAnsi"/>
        </w:rPr>
        <w:t xml:space="preserve"> pilot project that would serve as a learning experiment to </w:t>
      </w:r>
      <w:r w:rsidR="002D7469">
        <w:rPr>
          <w:rFonts w:asciiTheme="majorHAnsi" w:hAnsiTheme="majorHAnsi"/>
        </w:rPr>
        <w:t>evaluate</w:t>
      </w:r>
      <w:r w:rsidR="0077346A">
        <w:rPr>
          <w:rFonts w:asciiTheme="majorHAnsi" w:hAnsiTheme="majorHAnsi"/>
        </w:rPr>
        <w:t xml:space="preserve"> future potential expansion.</w:t>
      </w:r>
    </w:p>
    <w:p w:rsidR="00B5478C" w:rsidRDefault="00B5478C" w:rsidP="008937A8">
      <w:pPr>
        <w:spacing w:after="120"/>
        <w:rPr>
          <w:rFonts w:asciiTheme="majorHAnsi" w:hAnsiTheme="majorHAnsi"/>
        </w:rPr>
      </w:pPr>
    </w:p>
    <w:p w:rsidR="00B5478C" w:rsidRPr="00B5478C" w:rsidRDefault="00B5478C" w:rsidP="008937A8">
      <w:pPr>
        <w:spacing w:after="120"/>
        <w:rPr>
          <w:rFonts w:asciiTheme="majorHAnsi" w:hAnsiTheme="majorHAnsi"/>
          <w:color w:val="FF0000"/>
        </w:rPr>
      </w:pPr>
      <w:r>
        <w:rPr>
          <w:rFonts w:asciiTheme="majorHAnsi" w:hAnsiTheme="majorHAnsi"/>
          <w:color w:val="FF0000"/>
        </w:rPr>
        <w:t>Note to the reader:</w:t>
      </w:r>
      <w:r w:rsidRPr="00B5478C">
        <w:rPr>
          <w:rFonts w:asciiTheme="majorHAnsi" w:hAnsiTheme="majorHAnsi"/>
          <w:color w:val="FF0000"/>
        </w:rPr>
        <w:t xml:space="preserve"> The following sections are to be developed.</w:t>
      </w:r>
    </w:p>
    <w:p w:rsidR="00555B2D" w:rsidRDefault="00555B2D" w:rsidP="00BE4102">
      <w:pPr>
        <w:pStyle w:val="Heading1"/>
        <w:numPr>
          <w:ilvl w:val="0"/>
          <w:numId w:val="1"/>
        </w:numPr>
      </w:pPr>
      <w:bookmarkStart w:id="12" w:name="_Toc430353397"/>
      <w:r>
        <w:t>Financing</w:t>
      </w:r>
      <w:r w:rsidR="00C6054D">
        <w:t xml:space="preserve"> w</w:t>
      </w:r>
      <w:r w:rsidR="001D1D11">
        <w:t>hat</w:t>
      </w:r>
      <w:bookmarkEnd w:id="12"/>
    </w:p>
    <w:p w:rsidR="00555B2D" w:rsidRDefault="00555B2D" w:rsidP="008937A8">
      <w:pPr>
        <w:spacing w:after="120"/>
        <w:rPr>
          <w:rFonts w:asciiTheme="majorHAnsi" w:hAnsiTheme="majorHAnsi"/>
        </w:rPr>
      </w:pPr>
    </w:p>
    <w:p w:rsidR="00555B2D" w:rsidRDefault="00555B2D" w:rsidP="00555B2D">
      <w:pPr>
        <w:pStyle w:val="Heading2"/>
      </w:pPr>
      <w:bookmarkStart w:id="13" w:name="_Toc430353398"/>
      <w:r>
        <w:t>Debt,</w:t>
      </w:r>
      <w:r w:rsidR="001D1D11">
        <w:t xml:space="preserve"> Equity, </w:t>
      </w:r>
      <w:r>
        <w:t xml:space="preserve">or </w:t>
      </w:r>
      <w:r w:rsidR="001D1D11">
        <w:t>Hybrid</w:t>
      </w:r>
      <w:r>
        <w:t>s</w:t>
      </w:r>
      <w:bookmarkEnd w:id="13"/>
    </w:p>
    <w:p w:rsidR="00555B2D" w:rsidRDefault="00555B2D" w:rsidP="008937A8">
      <w:pPr>
        <w:spacing w:after="120"/>
        <w:rPr>
          <w:rFonts w:asciiTheme="majorHAnsi" w:hAnsiTheme="majorHAnsi"/>
        </w:rPr>
      </w:pPr>
    </w:p>
    <w:p w:rsidR="00503033" w:rsidRDefault="002D7469" w:rsidP="00555B2D">
      <w:pPr>
        <w:pStyle w:val="Heading2"/>
      </w:pPr>
      <w:bookmarkStart w:id="14" w:name="_Toc430353399"/>
      <w:proofErr w:type="gramStart"/>
      <w:r>
        <w:t>V</w:t>
      </w:r>
      <w:r w:rsidR="00555B2D">
        <w:t xml:space="preserve">enture </w:t>
      </w:r>
      <w:r>
        <w:t>C</w:t>
      </w:r>
      <w:r w:rsidR="00555B2D">
        <w:t>apital</w:t>
      </w:r>
      <w:r>
        <w:t xml:space="preserve"> as</w:t>
      </w:r>
      <w:r w:rsidR="009E0774">
        <w:t xml:space="preserve"> potential market competitor or</w:t>
      </w:r>
      <w:r w:rsidR="00555B2D">
        <w:t xml:space="preserve"> MGS</w:t>
      </w:r>
      <w:r>
        <w:t xml:space="preserve"> </w:t>
      </w:r>
      <w:r w:rsidR="00E6756A">
        <w:t xml:space="preserve">as </w:t>
      </w:r>
      <w:r>
        <w:t>a substitute to VC.</w:t>
      </w:r>
      <w:bookmarkEnd w:id="14"/>
      <w:proofErr w:type="gramEnd"/>
    </w:p>
    <w:p w:rsidR="00555B2D" w:rsidRDefault="00555B2D" w:rsidP="008937A8">
      <w:pPr>
        <w:spacing w:after="120"/>
        <w:rPr>
          <w:rFonts w:asciiTheme="majorHAnsi" w:hAnsiTheme="majorHAnsi"/>
        </w:rPr>
      </w:pPr>
    </w:p>
    <w:p w:rsidR="00511385" w:rsidRDefault="00F4225A" w:rsidP="00555B2D">
      <w:pPr>
        <w:pStyle w:val="Heading2"/>
      </w:pPr>
      <w:bookmarkStart w:id="15" w:name="_Toc430353400"/>
      <w:r>
        <w:t>Paying only for success</w:t>
      </w:r>
      <w:r w:rsidR="00555B2D">
        <w:t xml:space="preserve"> –</w:t>
      </w:r>
      <w:r w:rsidR="00C6054D">
        <w:t xml:space="preserve"> Modifying and leveraging the C</w:t>
      </w:r>
      <w:r w:rsidR="00555B2D">
        <w:t>o</w:t>
      </w:r>
      <w:r w:rsidR="00C6054D">
        <w:t>mpetition M</w:t>
      </w:r>
      <w:r w:rsidR="00555B2D">
        <w:t>odel</w:t>
      </w:r>
      <w:bookmarkEnd w:id="15"/>
    </w:p>
    <w:p w:rsidR="001148DB" w:rsidRDefault="001148DB" w:rsidP="008937A8">
      <w:pPr>
        <w:spacing w:after="120"/>
        <w:rPr>
          <w:rFonts w:asciiTheme="majorHAnsi" w:hAnsiTheme="majorHAnsi"/>
        </w:rPr>
      </w:pPr>
    </w:p>
    <w:p w:rsidR="00343132" w:rsidRDefault="00707926" w:rsidP="008937A8">
      <w:pPr>
        <w:spacing w:after="120"/>
        <w:rPr>
          <w:rFonts w:asciiTheme="majorHAnsi" w:hAnsiTheme="majorHAnsi"/>
        </w:rPr>
      </w:pPr>
      <w:r>
        <w:rPr>
          <w:rFonts w:asciiTheme="majorHAnsi" w:hAnsiTheme="majorHAnsi"/>
        </w:rPr>
        <w:t>About the Author</w:t>
      </w:r>
    </w:p>
    <w:p w:rsidR="006423E5" w:rsidRPr="002D6586" w:rsidRDefault="006423E5" w:rsidP="006423E5">
      <w:pPr>
        <w:spacing w:after="120"/>
        <w:rPr>
          <w:rFonts w:asciiTheme="majorHAnsi" w:hAnsiTheme="majorHAnsi"/>
          <w:b/>
        </w:rPr>
      </w:pPr>
      <w:r w:rsidRPr="002D6586">
        <w:rPr>
          <w:rFonts w:asciiTheme="majorHAnsi" w:hAnsiTheme="majorHAnsi"/>
          <w:b/>
        </w:rPr>
        <w:t xml:space="preserve">Giuseppe </w:t>
      </w:r>
      <w:proofErr w:type="spellStart"/>
      <w:r w:rsidRPr="002D6586">
        <w:rPr>
          <w:rFonts w:asciiTheme="majorHAnsi" w:hAnsiTheme="majorHAnsi"/>
          <w:b/>
        </w:rPr>
        <w:t>Gramigna</w:t>
      </w:r>
      <w:proofErr w:type="spellEnd"/>
      <w:r w:rsidRPr="002D6586">
        <w:rPr>
          <w:rFonts w:asciiTheme="majorHAnsi" w:hAnsiTheme="majorHAnsi"/>
          <w:b/>
        </w:rPr>
        <w:t>, Economist</w:t>
      </w:r>
    </w:p>
    <w:p w:rsidR="006423E5" w:rsidRPr="006423E5" w:rsidRDefault="006423E5" w:rsidP="006423E5">
      <w:pPr>
        <w:spacing w:after="120"/>
        <w:rPr>
          <w:rFonts w:asciiTheme="majorHAnsi" w:hAnsiTheme="majorHAnsi"/>
        </w:rPr>
      </w:pPr>
      <w:r w:rsidRPr="006423E5">
        <w:rPr>
          <w:rFonts w:asciiTheme="majorHAnsi" w:hAnsiTheme="majorHAnsi"/>
        </w:rPr>
        <w:t>Giuseppe’s work focuses on the small and medium enterprise sector. His academic research focused on how changes in the financial markets affect small business lending, and on labor migration during periods of economic transition. He later worked in the Equity Research Department of a major investment bank, where he focused on natural resource industries.</w:t>
      </w:r>
    </w:p>
    <w:p w:rsidR="006423E5" w:rsidRPr="006423E5" w:rsidRDefault="006423E5" w:rsidP="006423E5">
      <w:pPr>
        <w:spacing w:after="120"/>
        <w:rPr>
          <w:rFonts w:asciiTheme="majorHAnsi" w:hAnsiTheme="majorHAnsi"/>
        </w:rPr>
      </w:pPr>
      <w:r w:rsidRPr="006423E5">
        <w:rPr>
          <w:rFonts w:asciiTheme="majorHAnsi" w:hAnsiTheme="majorHAnsi"/>
        </w:rPr>
        <w:t xml:space="preserve">At the U.S. Small Business Administration, Giuseppe serves as the Agency’s Chief Economist, advises the Agency on economic trends affecting small businesses, and leads research on economic impact evaluations and strategic planning. He serves as the Chair of the interagency Subcommittee on Evaluating Business Technical Assistance Programs (E-BTAP), a group responsible for developing best practices for implementing economic impact evaluations within the U.S. Federal government. He also serves as the U.S. Permanent Delegate and Vice Chair to the OECD Working Party on SMEs and Entrepreneurship. Giuseppe works with international organizations such as APEC and ASEAN. He severs on the scientific committees of several academic institutions and publications, and is a frequent speaker on the domestic and international arena. </w:t>
      </w:r>
    </w:p>
    <w:p w:rsidR="006423E5" w:rsidRPr="006423E5" w:rsidRDefault="006423E5" w:rsidP="006423E5">
      <w:pPr>
        <w:spacing w:after="120"/>
        <w:rPr>
          <w:rFonts w:asciiTheme="majorHAnsi" w:hAnsiTheme="majorHAnsi"/>
        </w:rPr>
      </w:pPr>
      <w:r w:rsidRPr="006423E5">
        <w:rPr>
          <w:rFonts w:asciiTheme="majorHAnsi" w:hAnsiTheme="majorHAnsi"/>
        </w:rPr>
        <w:lastRenderedPageBreak/>
        <w:t xml:space="preserve">Before joining the U.S. Small Business Administration, Giuseppe headed the consulting firm, DASSI Corp.  His other areas of interest include the construction industries, tourism, information services, and regional economic development.  Giuseppe earned a BA in economics from The State University of New York at Purchase, and a graduate degree in economics from The New School </w:t>
      </w:r>
      <w:proofErr w:type="gramStart"/>
      <w:r w:rsidRPr="006423E5">
        <w:rPr>
          <w:rFonts w:asciiTheme="majorHAnsi" w:hAnsiTheme="majorHAnsi"/>
        </w:rPr>
        <w:t>For</w:t>
      </w:r>
      <w:proofErr w:type="gramEnd"/>
      <w:r w:rsidRPr="006423E5">
        <w:rPr>
          <w:rFonts w:asciiTheme="majorHAnsi" w:hAnsiTheme="majorHAnsi"/>
        </w:rPr>
        <w:t xml:space="preserve"> Social Research.</w:t>
      </w:r>
    </w:p>
    <w:p w:rsidR="00707926" w:rsidRPr="00343132" w:rsidRDefault="006423E5" w:rsidP="006423E5">
      <w:pPr>
        <w:spacing w:after="120"/>
        <w:rPr>
          <w:rFonts w:asciiTheme="majorHAnsi" w:hAnsiTheme="majorHAnsi"/>
        </w:rPr>
      </w:pPr>
      <w:r w:rsidRPr="006423E5">
        <w:rPr>
          <w:rFonts w:asciiTheme="majorHAnsi" w:hAnsiTheme="majorHAnsi"/>
        </w:rPr>
        <w:t>During 1996 to 2001 Giuseppe served as vice president and then president of the SUNY Purchase College Alumni Association., He also served as Alumni Representative to the Purchase College Council, a gubernatorial appointed oversight body.</w:t>
      </w:r>
    </w:p>
    <w:p w:rsidR="00343132" w:rsidRPr="00343132" w:rsidRDefault="00343132" w:rsidP="008937A8">
      <w:pPr>
        <w:spacing w:after="120"/>
        <w:rPr>
          <w:rFonts w:asciiTheme="majorHAnsi" w:hAnsiTheme="majorHAnsi"/>
        </w:rPr>
      </w:pPr>
    </w:p>
    <w:p w:rsidR="00343132" w:rsidRPr="00343132" w:rsidRDefault="00343132" w:rsidP="008937A8">
      <w:pPr>
        <w:spacing w:after="120"/>
        <w:rPr>
          <w:rFonts w:asciiTheme="majorHAnsi" w:hAnsiTheme="majorHAnsi"/>
        </w:rPr>
      </w:pPr>
    </w:p>
    <w:sectPr w:rsidR="00343132" w:rsidRPr="00343132" w:rsidSect="0091752D">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61E" w:rsidRDefault="00DE661E" w:rsidP="0091752D">
      <w:pPr>
        <w:spacing w:after="0" w:line="240" w:lineRule="auto"/>
      </w:pPr>
      <w:r>
        <w:separator/>
      </w:r>
    </w:p>
  </w:endnote>
  <w:endnote w:type="continuationSeparator" w:id="0">
    <w:p w:rsidR="00DE661E" w:rsidRDefault="00DE661E" w:rsidP="0091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9B" w:rsidRDefault="00BB22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294280"/>
      <w:docPartObj>
        <w:docPartGallery w:val="Page Numbers (Bottom of Page)"/>
        <w:docPartUnique/>
      </w:docPartObj>
    </w:sdtPr>
    <w:sdtEndPr>
      <w:rPr>
        <w:noProof/>
      </w:rPr>
    </w:sdtEndPr>
    <w:sdtContent>
      <w:p w:rsidR="006423E5" w:rsidRDefault="006423E5">
        <w:pPr>
          <w:pStyle w:val="Footer"/>
          <w:jc w:val="right"/>
        </w:pPr>
        <w:r>
          <w:fldChar w:fldCharType="begin"/>
        </w:r>
        <w:r>
          <w:instrText xml:space="preserve"> PAGE   \* MERGEFORMAT </w:instrText>
        </w:r>
        <w:r>
          <w:fldChar w:fldCharType="separate"/>
        </w:r>
        <w:r w:rsidR="006D3177">
          <w:rPr>
            <w:noProof/>
          </w:rPr>
          <w:t>3</w:t>
        </w:r>
        <w:r>
          <w:rPr>
            <w:noProof/>
          </w:rPr>
          <w:fldChar w:fldCharType="end"/>
        </w:r>
      </w:p>
    </w:sdtContent>
  </w:sdt>
  <w:p w:rsidR="006423E5" w:rsidRDefault="006423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9B" w:rsidRDefault="00BB2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61E" w:rsidRDefault="00DE661E" w:rsidP="0091752D">
      <w:pPr>
        <w:spacing w:after="0" w:line="240" w:lineRule="auto"/>
      </w:pPr>
      <w:r>
        <w:separator/>
      </w:r>
    </w:p>
  </w:footnote>
  <w:footnote w:type="continuationSeparator" w:id="0">
    <w:p w:rsidR="00DE661E" w:rsidRDefault="00DE661E" w:rsidP="0091752D">
      <w:pPr>
        <w:spacing w:after="0" w:line="240" w:lineRule="auto"/>
      </w:pPr>
      <w:r>
        <w:continuationSeparator/>
      </w:r>
    </w:p>
  </w:footnote>
  <w:footnote w:id="1">
    <w:p w:rsidR="006423E5" w:rsidRDefault="006423E5" w:rsidP="00C1597E">
      <w:pPr>
        <w:pStyle w:val="FootnoteText"/>
      </w:pPr>
      <w:r>
        <w:rPr>
          <w:rStyle w:val="FootnoteReference"/>
        </w:rPr>
        <w:footnoteRef/>
      </w:r>
      <w:r>
        <w:t xml:space="preserve"> </w:t>
      </w:r>
      <w:r w:rsidRPr="00C1597E">
        <w:t>A commonly quoted example is the use in Europe</w:t>
      </w:r>
      <w:r w:rsidR="00B3593A">
        <w:t xml:space="preserve"> during the Middle Ages where, in</w:t>
      </w:r>
      <w:r w:rsidRPr="00C1597E">
        <w:t xml:space="preserve"> order to avoid interest prohibition on lending, </w:t>
      </w:r>
      <w:r w:rsidR="00525064">
        <w:t>bankers</w:t>
      </w:r>
      <w:r w:rsidRPr="00C1597E">
        <w:t xml:space="preserve"> received loan repayments in a currency other than the currency used to disburse the loan.</w:t>
      </w:r>
    </w:p>
  </w:footnote>
  <w:footnote w:id="2">
    <w:p w:rsidR="006423E5" w:rsidRDefault="006423E5">
      <w:pPr>
        <w:pStyle w:val="FootnoteText"/>
      </w:pPr>
      <w:r>
        <w:rPr>
          <w:rStyle w:val="FootnoteReference"/>
        </w:rPr>
        <w:footnoteRef/>
      </w:r>
      <w:r>
        <w:t xml:space="preserve"> </w:t>
      </w:r>
      <w:proofErr w:type="gramStart"/>
      <w:r>
        <w:t>GG to possibly discuss Financial Deregulation in the U.S.</w:t>
      </w:r>
      <w:proofErr w:type="gramEnd"/>
      <w:r>
        <w:t xml:space="preserve"> </w:t>
      </w:r>
    </w:p>
  </w:footnote>
  <w:footnote w:id="3">
    <w:p w:rsidR="006423E5" w:rsidRDefault="006423E5">
      <w:pPr>
        <w:pStyle w:val="FootnoteText"/>
      </w:pPr>
      <w:r>
        <w:rPr>
          <w:rStyle w:val="FootnoteReference"/>
        </w:rPr>
        <w:footnoteRef/>
      </w:r>
      <w:r>
        <w:t xml:space="preserve"> GG to site Warren report, GG Springer report, and OECD Scoreboard reports for info on crisis and SME definitions</w:t>
      </w:r>
    </w:p>
  </w:footnote>
  <w:footnote w:id="4">
    <w:p w:rsidR="006423E5" w:rsidRDefault="006423E5">
      <w:pPr>
        <w:pStyle w:val="FootnoteText"/>
      </w:pPr>
      <w:r>
        <w:rPr>
          <w:rStyle w:val="FootnoteReference"/>
        </w:rPr>
        <w:footnoteRef/>
      </w:r>
      <w:r>
        <w:t xml:space="preserve"> GG to cite </w:t>
      </w:r>
      <w:r w:rsidRPr="001148DB">
        <w:t xml:space="preserve">Joseph </w:t>
      </w:r>
      <w:proofErr w:type="spellStart"/>
      <w:r w:rsidRPr="001148DB">
        <w:t>Stiglitz</w:t>
      </w:r>
      <w:proofErr w:type="spellEnd"/>
      <w:r>
        <w:t xml:space="preserve"> 1980’s work</w:t>
      </w:r>
    </w:p>
  </w:footnote>
  <w:footnote w:id="5">
    <w:p w:rsidR="006423E5" w:rsidRDefault="006423E5">
      <w:pPr>
        <w:pStyle w:val="FootnoteText"/>
      </w:pPr>
      <w:r>
        <w:rPr>
          <w:rStyle w:val="FootnoteReference"/>
        </w:rPr>
        <w:footnoteRef/>
      </w:r>
      <w:r>
        <w:t xml:space="preserve"> </w:t>
      </w:r>
      <w:proofErr w:type="gramStart"/>
      <w:r>
        <w:t>GG to define and provide examples of Trade Finance.</w:t>
      </w:r>
      <w:proofErr w:type="gramEnd"/>
    </w:p>
  </w:footnote>
  <w:footnote w:id="6">
    <w:p w:rsidR="006423E5" w:rsidRDefault="006423E5">
      <w:pPr>
        <w:pStyle w:val="FootnoteText"/>
      </w:pPr>
      <w:r>
        <w:rPr>
          <w:rStyle w:val="FootnoteReference"/>
        </w:rPr>
        <w:footnoteRef/>
      </w:r>
      <w:r>
        <w:t xml:space="preserve"> Unfortunately there is no readily available </w:t>
      </w:r>
      <w:r w:rsidR="00525064">
        <w:t xml:space="preserve">data </w:t>
      </w:r>
      <w:r>
        <w:t xml:space="preserve">to measure the size and </w:t>
      </w:r>
      <w:proofErr w:type="gramStart"/>
      <w:r>
        <w:t>nature of this credit gap…cite</w:t>
      </w:r>
      <w:proofErr w:type="gramEnd"/>
      <w:r>
        <w:t xml:space="preserve"> literature on this presumed gap.</w:t>
      </w:r>
    </w:p>
  </w:footnote>
  <w:footnote w:id="7">
    <w:p w:rsidR="006423E5" w:rsidRDefault="006423E5" w:rsidP="00166BED">
      <w:pPr>
        <w:pStyle w:val="FootnoteText"/>
      </w:pPr>
      <w:r>
        <w:rPr>
          <w:rStyle w:val="FootnoteReference"/>
        </w:rPr>
        <w:footnoteRef/>
      </w:r>
      <w:r>
        <w:t xml:space="preserve"> GG to further discuss SME Spectrum Paper, and the importance of SMEs to Innovation</w:t>
      </w:r>
    </w:p>
  </w:footnote>
  <w:footnote w:id="8">
    <w:p w:rsidR="006423E5" w:rsidRDefault="006423E5" w:rsidP="000D599E">
      <w:pPr>
        <w:pStyle w:val="FootnoteText"/>
      </w:pPr>
      <w:r>
        <w:rPr>
          <w:rStyle w:val="FootnoteReference"/>
        </w:rPr>
        <w:footnoteRef/>
      </w:r>
      <w:r>
        <w:t xml:space="preserve"> Mutual societies are a collective of independent businesses that commit to granting a collective credit guarantee to their members. The phi</w:t>
      </w:r>
      <w:r w:rsidR="00DA4679">
        <w:t xml:space="preserve">losophy is based on the </w:t>
      </w:r>
      <w:proofErr w:type="spellStart"/>
      <w:r w:rsidR="00DA4679">
        <w:t>mutualiz</w:t>
      </w:r>
      <w:r>
        <w:t>ation</w:t>
      </w:r>
      <w:proofErr w:type="spellEnd"/>
      <w:r>
        <w:t xml:space="preserve"> of responsibility, decision-making by peers, and to operating within a market economy. Nevertheless, mutual guarantee societies can and do receive public support. See the European Commission. Best Reports No3-2006, “</w:t>
      </w:r>
      <w:r w:rsidRPr="000D599E">
        <w:rPr>
          <w:i/>
        </w:rPr>
        <w:t>Guarantees and Mutual Guarantees</w:t>
      </w:r>
      <w:r>
        <w:t>”. 2006</w:t>
      </w:r>
    </w:p>
  </w:footnote>
  <w:footnote w:id="9">
    <w:p w:rsidR="006423E5" w:rsidRDefault="006423E5">
      <w:pPr>
        <w:pStyle w:val="FootnoteText"/>
      </w:pPr>
      <w:r>
        <w:rPr>
          <w:rStyle w:val="FootnoteReference"/>
        </w:rPr>
        <w:footnoteRef/>
      </w:r>
      <w:r>
        <w:t xml:space="preserve"> The availability of micro-level data with such high degree of data items in each country or region may play an important role in determining where such a pilot project could be first supported and implemented.</w:t>
      </w:r>
    </w:p>
  </w:footnote>
  <w:footnote w:id="10">
    <w:p w:rsidR="006423E5" w:rsidRDefault="006423E5" w:rsidP="003E4AD4">
      <w:pPr>
        <w:pStyle w:val="FootnoteText"/>
      </w:pPr>
      <w:r>
        <w:rPr>
          <w:rStyle w:val="FootnoteReference"/>
        </w:rPr>
        <w:footnoteRef/>
      </w:r>
      <w:r>
        <w:t xml:space="preserve"> </w:t>
      </w:r>
      <w:r w:rsidRPr="000C41F7">
        <w:rPr>
          <w:i/>
        </w:rPr>
        <w:t>Intangible Assets</w:t>
      </w:r>
      <w:r w:rsidRPr="000C41F7">
        <w:t xml:space="preserve"> are defined as …</w:t>
      </w:r>
      <w:r>
        <w:t>. GG Further develop this research note: With respect to the question on metrics of innovation, patents, trademarks, brands, and publications are generally considered a rough, and possibly poor, proxies to be used when all else fails... Additional data and research on this area:</w:t>
      </w:r>
    </w:p>
    <w:p w:rsidR="006423E5" w:rsidRDefault="006423E5" w:rsidP="003E4AD4">
      <w:pPr>
        <w:pStyle w:val="FootnoteText"/>
      </w:pPr>
      <w:r>
        <w:t>L</w:t>
      </w:r>
      <w:r w:rsidRPr="003E4AD4">
        <w:t>ook at the innovation questions in the new proposed Census Annual Survey of Business Owners (ASBO)</w:t>
      </w:r>
      <w:r>
        <w:t xml:space="preserve">. </w:t>
      </w:r>
      <w:r w:rsidRPr="003E4AD4">
        <w:t xml:space="preserve"> </w:t>
      </w:r>
      <w:r>
        <w:t xml:space="preserve">The Canadians use both IP metrics and new product/process question in their Survey on Financing and Growth of Small and Medium Enterprises - </w:t>
      </w:r>
      <w:hyperlink r:id="rId1" w:history="1">
        <w:r w:rsidRPr="00E65ADD">
          <w:rPr>
            <w:rStyle w:val="Hyperlink"/>
          </w:rPr>
          <w:t>http://www.ic.gc.ca/eic/site/061.nsf/eng/02776.html</w:t>
        </w:r>
      </w:hyperlink>
      <w:r>
        <w:t xml:space="preserve"> ...Census already collects for NSF some innovation data on new products/processes by company as part of its Business Research and Development and Innovation Survey. See </w:t>
      </w:r>
      <w:hyperlink r:id="rId2" w:history="1">
        <w:r w:rsidRPr="00E65ADD">
          <w:rPr>
            <w:rStyle w:val="Hyperlink"/>
          </w:rPr>
          <w:t>http://www.nsf.gov/statistics/srvyindustry/</w:t>
        </w:r>
      </w:hyperlink>
      <w:r>
        <w:t xml:space="preserve">  for general information; </w:t>
      </w:r>
      <w:hyperlink r:id="rId3" w:anchor="chp1&amp;chp2" w:history="1">
        <w:r w:rsidRPr="00E65ADD">
          <w:rPr>
            <w:rStyle w:val="Hyperlink"/>
          </w:rPr>
          <w:t>http://www.nsf.gov/statistics/2015/nsf15307/#chp1&amp;chp2</w:t>
        </w:r>
      </w:hyperlink>
      <w:r>
        <w:t xml:space="preserve"> for data from the last survey 2011   - item 50</w:t>
      </w:r>
    </w:p>
    <w:p w:rsidR="006423E5" w:rsidRDefault="00DE661E" w:rsidP="003E4AD4">
      <w:pPr>
        <w:pStyle w:val="FootnoteText"/>
      </w:pPr>
      <w:hyperlink r:id="rId4" w:history="1">
        <w:r w:rsidR="006423E5" w:rsidRPr="00E65ADD">
          <w:rPr>
            <w:rStyle w:val="Hyperlink"/>
          </w:rPr>
          <w:t>http://www.nsf.gov/statistics/2015/nsf15307/pdf/srvybrdis_2011.pdf</w:t>
        </w:r>
      </w:hyperlink>
      <w:r w:rsidR="006423E5">
        <w:t xml:space="preserve">  - questions 1-11 to 1-14.</w:t>
      </w:r>
    </w:p>
    <w:p w:rsidR="006423E5" w:rsidRDefault="006423E5" w:rsidP="003E4AD4">
      <w:pPr>
        <w:pStyle w:val="FootnoteText"/>
      </w:pPr>
      <w:r>
        <w:t>NSF is schedule to release the latest data in July (from Census' 2013 survey). Note that this is a mandatory survey for participants (under Census powers). Census and NSF also piloted the ASBO question in its Microbusiness Innovation Science and Technology Survey. I don't know how often this survey will be. Both of these are in ke</w:t>
      </w:r>
      <w:r w:rsidR="00DA4679">
        <w:t>eping with the OECD Oslo Manual</w:t>
      </w:r>
      <w:r>
        <w:t xml:space="preserve">: Guidelines for Collecting and Interpreting Innovation Data, 3rd Edition </w:t>
      </w:r>
      <w:hyperlink r:id="rId5" w:history="1">
        <w:r w:rsidRPr="00E65ADD">
          <w:rPr>
            <w:rStyle w:val="Hyperlink"/>
          </w:rPr>
          <w:t>www.oecd.org/sti/oslomanual</w:t>
        </w:r>
      </w:hyperlink>
      <w:r>
        <w:t xml:space="preserve"> The Oslo Manual g</w:t>
      </w:r>
      <w:r w:rsidRPr="00F01D62">
        <w:t>oes into much greater depth on types of innovation</w:t>
      </w:r>
      <w:r>
        <w:t xml:space="preserve">. </w:t>
      </w:r>
    </w:p>
  </w:footnote>
  <w:footnote w:id="11">
    <w:p w:rsidR="006423E5" w:rsidRDefault="006423E5">
      <w:pPr>
        <w:pStyle w:val="FootnoteText"/>
      </w:pPr>
      <w:r>
        <w:rPr>
          <w:rStyle w:val="FootnoteReference"/>
        </w:rPr>
        <w:footnoteRef/>
      </w:r>
      <w:r>
        <w:t xml:space="preserve"> GG Note: let </w:t>
      </w:r>
      <w:proofErr w:type="spellStart"/>
      <w:r>
        <w:t>XProf</w:t>
      </w:r>
      <w:proofErr w:type="spellEnd"/>
      <w:r>
        <w:t xml:space="preserve"> = profit of financed innovative SME, </w:t>
      </w:r>
      <w:proofErr w:type="spellStart"/>
      <w:r>
        <w:t>YProf</w:t>
      </w:r>
      <w:proofErr w:type="spellEnd"/>
      <w:r>
        <w:t xml:space="preserve"> = profit of non-financed innovative SME. Then Market Potential = </w:t>
      </w:r>
      <w:proofErr w:type="gramStart"/>
      <w:r>
        <w:t>f[</w:t>
      </w:r>
      <w:proofErr w:type="gramEnd"/>
      <w:r>
        <w:t>(</w:t>
      </w:r>
      <w:proofErr w:type="spellStart"/>
      <w:r>
        <w:t>XProf</w:t>
      </w:r>
      <w:proofErr w:type="spellEnd"/>
      <w:r>
        <w:t xml:space="preserve"> – </w:t>
      </w:r>
      <w:proofErr w:type="spellStart"/>
      <w:r>
        <w:t>YProf</w:t>
      </w:r>
      <w:proofErr w:type="spellEnd"/>
      <w:r>
        <w:t>)*Number of non-financed innovative SMEs].</w:t>
      </w:r>
    </w:p>
  </w:footnote>
  <w:footnote w:id="12">
    <w:p w:rsidR="006423E5" w:rsidRDefault="006423E5">
      <w:pPr>
        <w:pStyle w:val="FootnoteText"/>
      </w:pPr>
      <w:r>
        <w:rPr>
          <w:rStyle w:val="FootnoteReference"/>
        </w:rPr>
        <w:footnoteRef/>
      </w:r>
      <w:r>
        <w:t xml:space="preserve"> GG to provide source: White House and OMB docs, and E-BTAP upcoming paper.</w:t>
      </w:r>
    </w:p>
  </w:footnote>
  <w:footnote w:id="13">
    <w:p w:rsidR="006423E5" w:rsidRDefault="006423E5" w:rsidP="00160D9F">
      <w:pPr>
        <w:pStyle w:val="FootnoteText"/>
      </w:pPr>
      <w:r>
        <w:rPr>
          <w:rStyle w:val="FootnoteReference"/>
        </w:rPr>
        <w:footnoteRef/>
      </w:r>
      <w:r>
        <w:t xml:space="preserve"> </w:t>
      </w:r>
      <w:proofErr w:type="spellStart"/>
      <w:proofErr w:type="gramStart"/>
      <w:r>
        <w:t>Kenan</w:t>
      </w:r>
      <w:proofErr w:type="spellEnd"/>
      <w:r>
        <w:t xml:space="preserve"> P. </w:t>
      </w:r>
      <w:proofErr w:type="spellStart"/>
      <w:r>
        <w:t>Jarboe</w:t>
      </w:r>
      <w:proofErr w:type="spellEnd"/>
      <w:r>
        <w:t xml:space="preserve"> and Ian Ellis.</w:t>
      </w:r>
      <w:proofErr w:type="gramEnd"/>
      <w:r>
        <w:t xml:space="preserve"> </w:t>
      </w:r>
      <w:r w:rsidRPr="00881ACB">
        <w:rPr>
          <w:i/>
        </w:rPr>
        <w:t>Intangible Assets Innovative Financing for Innovation</w:t>
      </w:r>
      <w:r>
        <w:t xml:space="preserve">, Winter 2010 </w:t>
      </w:r>
    </w:p>
  </w:footnote>
  <w:footnote w:id="14">
    <w:p w:rsidR="006423E5" w:rsidRDefault="006423E5">
      <w:pPr>
        <w:pStyle w:val="FootnoteText"/>
      </w:pPr>
      <w:r>
        <w:rPr>
          <w:rStyle w:val="FootnoteReference"/>
        </w:rPr>
        <w:footnoteRef/>
      </w:r>
      <w:r>
        <w:t xml:space="preserve"> GG to cite </w:t>
      </w:r>
      <w:proofErr w:type="spellStart"/>
      <w:r>
        <w:t>Kenan</w:t>
      </w:r>
      <w:proofErr w:type="spellEnd"/>
      <w:r>
        <w:t xml:space="preserve"> </w:t>
      </w:r>
      <w:proofErr w:type="spellStart"/>
      <w:r>
        <w:t>Jarboe</w:t>
      </w:r>
      <w:proofErr w:type="spellEnd"/>
      <w:r>
        <w:t xml:space="preserve"> works.</w:t>
      </w:r>
    </w:p>
  </w:footnote>
  <w:footnote w:id="15">
    <w:p w:rsidR="006423E5" w:rsidRDefault="006423E5">
      <w:pPr>
        <w:pStyle w:val="FootnoteText"/>
      </w:pPr>
      <w:r>
        <w:rPr>
          <w:rStyle w:val="FootnoteReference"/>
        </w:rPr>
        <w:footnoteRef/>
      </w:r>
      <w:r>
        <w:t xml:space="preserve"> </w:t>
      </w:r>
      <w:proofErr w:type="spellStart"/>
      <w:r>
        <w:t>Gramigna</w:t>
      </w:r>
      <w:proofErr w:type="spellEnd"/>
      <w:r>
        <w:t xml:space="preserve"> 1985 </w:t>
      </w:r>
      <w:proofErr w:type="gramStart"/>
      <w:r>
        <w:t>paper,</w:t>
      </w:r>
      <w:proofErr w:type="gramEnd"/>
      <w:r>
        <w:t xml:space="preserve"> and recent FDIC data on decline in financial institutions, especially Community Banks. </w:t>
      </w:r>
      <w:proofErr w:type="gramStart"/>
      <w:r>
        <w:t>Also FDIC Data on small loans, possibly citing GG OECD Scoreboard writings.</w:t>
      </w:r>
      <w:proofErr w:type="gramEnd"/>
    </w:p>
  </w:footnote>
  <w:footnote w:id="16">
    <w:p w:rsidR="006423E5" w:rsidRDefault="006423E5">
      <w:pPr>
        <w:pStyle w:val="FootnoteText"/>
      </w:pPr>
      <w:r>
        <w:rPr>
          <w:rStyle w:val="FootnoteReference"/>
        </w:rPr>
        <w:footnoteRef/>
      </w:r>
      <w:r>
        <w:t xml:space="preserve"> GG to provide data</w:t>
      </w:r>
    </w:p>
  </w:footnote>
  <w:footnote w:id="17">
    <w:p w:rsidR="006423E5" w:rsidRDefault="006423E5">
      <w:pPr>
        <w:pStyle w:val="FootnoteText"/>
      </w:pPr>
      <w:r>
        <w:rPr>
          <w:rStyle w:val="FootnoteReference"/>
        </w:rPr>
        <w:footnoteRef/>
      </w:r>
      <w:r>
        <w:t xml:space="preserve"> GG to develop… Credit bureaus have been around since the 1880’s… and Credit Scores …</w:t>
      </w:r>
    </w:p>
  </w:footnote>
  <w:footnote w:id="18">
    <w:p w:rsidR="006423E5" w:rsidRDefault="006423E5">
      <w:pPr>
        <w:pStyle w:val="FootnoteText"/>
      </w:pPr>
      <w:r>
        <w:rPr>
          <w:rStyle w:val="FootnoteReference"/>
        </w:rPr>
        <w:footnoteRef/>
      </w:r>
      <w:r>
        <w:t xml:space="preserve"> GG to provide data and evidence to support this argument</w:t>
      </w:r>
    </w:p>
  </w:footnote>
  <w:footnote w:id="19">
    <w:p w:rsidR="006423E5" w:rsidRDefault="006423E5">
      <w:pPr>
        <w:pStyle w:val="FootnoteText"/>
      </w:pPr>
      <w:r>
        <w:rPr>
          <w:rStyle w:val="FootnoteReference"/>
        </w:rPr>
        <w:footnoteRef/>
      </w:r>
      <w:r>
        <w:t xml:space="preserve"> </w:t>
      </w:r>
      <w:r w:rsidRPr="0095008D">
        <w:t>GG to provide example… 1980’s develop</w:t>
      </w:r>
      <w:r>
        <w:t>ment of Certificate of Deposits</w:t>
      </w:r>
    </w:p>
  </w:footnote>
  <w:footnote w:id="20">
    <w:p w:rsidR="006423E5" w:rsidRDefault="006423E5">
      <w:pPr>
        <w:pStyle w:val="FootnoteText"/>
      </w:pPr>
      <w:r>
        <w:rPr>
          <w:rStyle w:val="FootnoteReference"/>
        </w:rPr>
        <w:footnoteRef/>
      </w:r>
      <w:r>
        <w:t xml:space="preserve"> </w:t>
      </w:r>
      <w:r w:rsidRPr="0095008D">
        <w:t>GG to provide example… 1980’s develo</w:t>
      </w:r>
      <w:r>
        <w:t>pment of Bank Holding Companies</w:t>
      </w:r>
    </w:p>
  </w:footnote>
  <w:footnote w:id="21">
    <w:p w:rsidR="006423E5" w:rsidRDefault="006423E5">
      <w:pPr>
        <w:pStyle w:val="FootnoteText"/>
      </w:pPr>
      <w:r>
        <w:rPr>
          <w:rStyle w:val="FootnoteReference"/>
        </w:rPr>
        <w:footnoteRef/>
      </w:r>
      <w:r>
        <w:t xml:space="preserve"> See the Federal Reserve Act of 1977; ECB: Price, </w:t>
      </w:r>
      <w:r w:rsidRPr="000A1F37">
        <w:t>Treaty on the Functioning of the European Union, Article 127 (1)</w:t>
      </w:r>
    </w:p>
  </w:footnote>
  <w:footnote w:id="22">
    <w:p w:rsidR="006423E5" w:rsidRDefault="006423E5">
      <w:pPr>
        <w:pStyle w:val="FootnoteText"/>
      </w:pPr>
      <w:r>
        <w:rPr>
          <w:rStyle w:val="FootnoteReference"/>
        </w:rPr>
        <w:footnoteRef/>
      </w:r>
      <w:r>
        <w:t xml:space="preserve"> If needed GG to expand on the notions of </w:t>
      </w:r>
      <w:r w:rsidRPr="00C01798">
        <w:rPr>
          <w:i/>
        </w:rPr>
        <w:t>Rule</w:t>
      </w:r>
      <w:r>
        <w:t xml:space="preserve">, </w:t>
      </w:r>
      <w:r w:rsidRPr="00C01798">
        <w:rPr>
          <w:i/>
        </w:rPr>
        <w:t>Soundness</w:t>
      </w:r>
      <w:r>
        <w:t xml:space="preserve">, </w:t>
      </w:r>
      <w:r w:rsidRPr="00C01798">
        <w:rPr>
          <w:i/>
        </w:rPr>
        <w:t>Stability</w:t>
      </w:r>
      <w:r>
        <w:t xml:space="preserve">, and </w:t>
      </w:r>
      <w:r w:rsidRPr="00C01798">
        <w:rPr>
          <w:i/>
        </w:rPr>
        <w:t>Fairness</w:t>
      </w:r>
      <w:r>
        <w:t xml:space="preserve">. </w:t>
      </w:r>
    </w:p>
  </w:footnote>
  <w:footnote w:id="23">
    <w:p w:rsidR="006423E5" w:rsidRDefault="006423E5">
      <w:pPr>
        <w:pStyle w:val="FootnoteText"/>
      </w:pPr>
      <w:r>
        <w:rPr>
          <w:rStyle w:val="FootnoteReference"/>
        </w:rPr>
        <w:footnoteRef/>
      </w:r>
      <w:r>
        <w:t xml:space="preserve"> </w:t>
      </w:r>
      <w:proofErr w:type="gramStart"/>
      <w:r>
        <w:t>GG to further develop the second and third assertion.</w:t>
      </w:r>
      <w:proofErr w:type="gramEnd"/>
    </w:p>
  </w:footnote>
  <w:footnote w:id="24">
    <w:p w:rsidR="006423E5" w:rsidRDefault="006423E5">
      <w:pPr>
        <w:pStyle w:val="FootnoteText"/>
      </w:pPr>
      <w:r>
        <w:rPr>
          <w:rStyle w:val="FootnoteReference"/>
        </w:rPr>
        <w:footnoteRef/>
      </w:r>
      <w:r>
        <w:t xml:space="preserve"> </w:t>
      </w:r>
      <w:r w:rsidR="00E505A7">
        <w:t>M</w:t>
      </w:r>
      <w:r>
        <w:t>ost developed economies are regulated. In the U.S.</w:t>
      </w:r>
      <w:r w:rsidR="00E505A7">
        <w:t>,</w:t>
      </w:r>
      <w:r>
        <w:t xml:space="preserve"> the </w:t>
      </w:r>
      <w:r w:rsidRPr="00E505A7">
        <w:rPr>
          <w:i/>
        </w:rPr>
        <w:t>Consumer Finance Protection Bureau</w:t>
      </w:r>
      <w:r>
        <w:t xml:space="preserve"> is the regulatory agency. </w:t>
      </w:r>
      <w:r w:rsidRPr="00E505A7">
        <w:rPr>
          <w:i/>
        </w:rPr>
        <w:t>The European Securities and Markets Authority (ESMA)</w:t>
      </w:r>
      <w:r w:rsidRPr="002510AA">
        <w:t xml:space="preserve"> </w:t>
      </w:r>
      <w:r>
        <w:t>is the responsible regulatory agency.</w:t>
      </w:r>
    </w:p>
  </w:footnote>
  <w:footnote w:id="25">
    <w:p w:rsidR="006423E5" w:rsidRDefault="006423E5">
      <w:pPr>
        <w:pStyle w:val="FootnoteText"/>
      </w:pPr>
      <w:r>
        <w:rPr>
          <w:rStyle w:val="FootnoteReference"/>
        </w:rPr>
        <w:footnoteRef/>
      </w:r>
      <w:r>
        <w:t xml:space="preserve"> </w:t>
      </w:r>
      <w:proofErr w:type="gramStart"/>
      <w:r>
        <w:t>GG to expand this section to ensure that the full spectrum of techno</w:t>
      </w:r>
      <w:r w:rsidR="00E6756A">
        <w:t>-</w:t>
      </w:r>
      <w:r>
        <w:t>centric new entrants is covered.</w:t>
      </w:r>
      <w:proofErr w:type="gramEnd"/>
      <w:r>
        <w:t xml:space="preserve"> Also want to develop the concept of </w:t>
      </w:r>
      <w:r w:rsidRPr="00D222B0">
        <w:rPr>
          <w:b/>
        </w:rPr>
        <w:t>Capital Raising Function</w:t>
      </w:r>
      <w:r>
        <w:t xml:space="preserve"> (retail Vs. Wholesale. </w:t>
      </w:r>
      <w:proofErr w:type="gramStart"/>
      <w:r>
        <w:t>See GG 15 05 21 Malaysia Presentation.)</w:t>
      </w:r>
      <w:proofErr w:type="gramEnd"/>
    </w:p>
  </w:footnote>
  <w:footnote w:id="26">
    <w:p w:rsidR="006423E5" w:rsidRDefault="006423E5">
      <w:pPr>
        <w:pStyle w:val="FootnoteText"/>
      </w:pPr>
      <w:r>
        <w:rPr>
          <w:rStyle w:val="FootnoteReference"/>
        </w:rPr>
        <w:footnoteRef/>
      </w:r>
      <w:r>
        <w:t xml:space="preserve"> Most financial institutions use Survival Analyses that estimate the timing and value amounts of critical loan statuses for the entire expected lifetime of a loan, which in turn, determine the cash-flow, profitability and risk of the loan. Aggregating these elements across a financial institution</w:t>
      </w:r>
      <w:r w:rsidR="00E505A7">
        <w:t>’s</w:t>
      </w:r>
      <w:r>
        <w:t xml:space="preserve"> portfolio determines the portfolio’s cash-flow, profitability and risk. Typically the rudimentary loan statuses include on time payments, pre payments, default, recovery, and charge offs.</w:t>
      </w:r>
    </w:p>
  </w:footnote>
  <w:footnote w:id="27">
    <w:p w:rsidR="006423E5" w:rsidRDefault="006423E5">
      <w:pPr>
        <w:pStyle w:val="FootnoteText"/>
      </w:pPr>
      <w:r>
        <w:rPr>
          <w:rStyle w:val="FootnoteReference"/>
        </w:rPr>
        <w:footnoteRef/>
      </w:r>
      <w:r>
        <w:t xml:space="preserve"> Assessing the </w:t>
      </w:r>
      <w:r w:rsidRPr="00E96D78">
        <w:rPr>
          <w:i/>
        </w:rPr>
        <w:t>Scientific Validity</w:t>
      </w:r>
      <w:r>
        <w:t xml:space="preserve"> of a specific innovation typically includes assessing the scientific evidence that indicates (</w:t>
      </w:r>
      <w:proofErr w:type="spellStart"/>
      <w:r>
        <w:t>i</w:t>
      </w:r>
      <w:proofErr w:type="spellEnd"/>
      <w:r>
        <w:t xml:space="preserve">) if the innovative solution actually works, (ii) it is unique enough to pass patenting requirements, and (iii) </w:t>
      </w:r>
      <w:r w:rsidR="00E505A7">
        <w:t xml:space="preserve">it </w:t>
      </w:r>
      <w:r>
        <w:t xml:space="preserve">is not easily duplicated or replaceable. </w:t>
      </w:r>
    </w:p>
  </w:footnote>
  <w:footnote w:id="28">
    <w:p w:rsidR="006423E5" w:rsidRDefault="006423E5">
      <w:pPr>
        <w:pStyle w:val="FootnoteText"/>
      </w:pPr>
      <w:r>
        <w:rPr>
          <w:rStyle w:val="FootnoteReference"/>
        </w:rPr>
        <w:footnoteRef/>
      </w:r>
      <w:r>
        <w:t xml:space="preserve"> GG to provide further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9B" w:rsidRDefault="00BB22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931115"/>
      <w:docPartObj>
        <w:docPartGallery w:val="Watermarks"/>
        <w:docPartUnique/>
      </w:docPartObj>
    </w:sdtPr>
    <w:sdtEndPr/>
    <w:sdtContent>
      <w:p w:rsidR="00BB229B" w:rsidRDefault="00DE661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9B" w:rsidRDefault="00BB22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D32B1"/>
    <w:multiLevelType w:val="hybridMultilevel"/>
    <w:tmpl w:val="F71A4B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A02248"/>
    <w:multiLevelType w:val="hybridMultilevel"/>
    <w:tmpl w:val="DDE6750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9C17B9"/>
    <w:multiLevelType w:val="hybridMultilevel"/>
    <w:tmpl w:val="62B63A18"/>
    <w:lvl w:ilvl="0" w:tplc="443E540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32"/>
    <w:rsid w:val="000049C1"/>
    <w:rsid w:val="00006B4D"/>
    <w:rsid w:val="00026FC6"/>
    <w:rsid w:val="00035F34"/>
    <w:rsid w:val="0008541C"/>
    <w:rsid w:val="00086451"/>
    <w:rsid w:val="000A1F37"/>
    <w:rsid w:val="000B5D35"/>
    <w:rsid w:val="000B6FBA"/>
    <w:rsid w:val="000C41F7"/>
    <w:rsid w:val="000D599E"/>
    <w:rsid w:val="000E380E"/>
    <w:rsid w:val="000E7157"/>
    <w:rsid w:val="00100A17"/>
    <w:rsid w:val="0010488C"/>
    <w:rsid w:val="00105077"/>
    <w:rsid w:val="001148DB"/>
    <w:rsid w:val="00122E21"/>
    <w:rsid w:val="0014539E"/>
    <w:rsid w:val="00150C39"/>
    <w:rsid w:val="00156DE9"/>
    <w:rsid w:val="00160D9F"/>
    <w:rsid w:val="00166BED"/>
    <w:rsid w:val="0019146C"/>
    <w:rsid w:val="00192F68"/>
    <w:rsid w:val="001B2F12"/>
    <w:rsid w:val="001C5AA7"/>
    <w:rsid w:val="001D1D11"/>
    <w:rsid w:val="001D6C80"/>
    <w:rsid w:val="001F068E"/>
    <w:rsid w:val="002279DB"/>
    <w:rsid w:val="00231954"/>
    <w:rsid w:val="002377CF"/>
    <w:rsid w:val="00240BBE"/>
    <w:rsid w:val="002510AA"/>
    <w:rsid w:val="0029110F"/>
    <w:rsid w:val="00295C26"/>
    <w:rsid w:val="002A0887"/>
    <w:rsid w:val="002A42EF"/>
    <w:rsid w:val="002D6586"/>
    <w:rsid w:val="002D7469"/>
    <w:rsid w:val="002F35FB"/>
    <w:rsid w:val="0034188F"/>
    <w:rsid w:val="00343132"/>
    <w:rsid w:val="00343697"/>
    <w:rsid w:val="003527F8"/>
    <w:rsid w:val="003602DB"/>
    <w:rsid w:val="00372BD6"/>
    <w:rsid w:val="00387034"/>
    <w:rsid w:val="003A6AFA"/>
    <w:rsid w:val="003D2D80"/>
    <w:rsid w:val="003E000B"/>
    <w:rsid w:val="003E076F"/>
    <w:rsid w:val="003E4AD4"/>
    <w:rsid w:val="004700A0"/>
    <w:rsid w:val="00482CEB"/>
    <w:rsid w:val="00497E32"/>
    <w:rsid w:val="004A108D"/>
    <w:rsid w:val="004A2446"/>
    <w:rsid w:val="004B2F86"/>
    <w:rsid w:val="004C7A0E"/>
    <w:rsid w:val="004D2AA7"/>
    <w:rsid w:val="00503033"/>
    <w:rsid w:val="00511385"/>
    <w:rsid w:val="00513D50"/>
    <w:rsid w:val="00525064"/>
    <w:rsid w:val="00525B6A"/>
    <w:rsid w:val="00532FE2"/>
    <w:rsid w:val="00533ED3"/>
    <w:rsid w:val="00534CBC"/>
    <w:rsid w:val="00535903"/>
    <w:rsid w:val="00537AFA"/>
    <w:rsid w:val="005452C4"/>
    <w:rsid w:val="00555B2D"/>
    <w:rsid w:val="0058585A"/>
    <w:rsid w:val="005905BF"/>
    <w:rsid w:val="005A6347"/>
    <w:rsid w:val="005B1911"/>
    <w:rsid w:val="005B74B4"/>
    <w:rsid w:val="00606772"/>
    <w:rsid w:val="00614389"/>
    <w:rsid w:val="00617C73"/>
    <w:rsid w:val="00627CAC"/>
    <w:rsid w:val="006423E5"/>
    <w:rsid w:val="006537FB"/>
    <w:rsid w:val="0066317E"/>
    <w:rsid w:val="006C18E2"/>
    <w:rsid w:val="006C1B42"/>
    <w:rsid w:val="006C253B"/>
    <w:rsid w:val="006C2F1E"/>
    <w:rsid w:val="006C7E69"/>
    <w:rsid w:val="006D186B"/>
    <w:rsid w:val="006D3177"/>
    <w:rsid w:val="006F35B4"/>
    <w:rsid w:val="006F5CE8"/>
    <w:rsid w:val="00701A43"/>
    <w:rsid w:val="00707926"/>
    <w:rsid w:val="00727F04"/>
    <w:rsid w:val="00765B3B"/>
    <w:rsid w:val="007724C6"/>
    <w:rsid w:val="0077346A"/>
    <w:rsid w:val="0077611A"/>
    <w:rsid w:val="007A14B7"/>
    <w:rsid w:val="007A7260"/>
    <w:rsid w:val="007C79A0"/>
    <w:rsid w:val="007D47B7"/>
    <w:rsid w:val="008125BE"/>
    <w:rsid w:val="00822262"/>
    <w:rsid w:val="008253FA"/>
    <w:rsid w:val="00830658"/>
    <w:rsid w:val="00832A6E"/>
    <w:rsid w:val="00837B65"/>
    <w:rsid w:val="00866367"/>
    <w:rsid w:val="008677A7"/>
    <w:rsid w:val="00877A13"/>
    <w:rsid w:val="00877DC4"/>
    <w:rsid w:val="00881ACB"/>
    <w:rsid w:val="008937A8"/>
    <w:rsid w:val="008B572C"/>
    <w:rsid w:val="008B6793"/>
    <w:rsid w:val="008B6F90"/>
    <w:rsid w:val="008C1C29"/>
    <w:rsid w:val="008D4712"/>
    <w:rsid w:val="008E2495"/>
    <w:rsid w:val="008E5F89"/>
    <w:rsid w:val="0091752D"/>
    <w:rsid w:val="00927121"/>
    <w:rsid w:val="0095008D"/>
    <w:rsid w:val="00950CC3"/>
    <w:rsid w:val="00961E74"/>
    <w:rsid w:val="00964394"/>
    <w:rsid w:val="009658F8"/>
    <w:rsid w:val="00971285"/>
    <w:rsid w:val="009725D4"/>
    <w:rsid w:val="009740E8"/>
    <w:rsid w:val="00980CC7"/>
    <w:rsid w:val="00981D15"/>
    <w:rsid w:val="009A2981"/>
    <w:rsid w:val="009B3A07"/>
    <w:rsid w:val="009B741A"/>
    <w:rsid w:val="009D173F"/>
    <w:rsid w:val="009D5A20"/>
    <w:rsid w:val="009E0774"/>
    <w:rsid w:val="00A25811"/>
    <w:rsid w:val="00A36D30"/>
    <w:rsid w:val="00A4264C"/>
    <w:rsid w:val="00A53538"/>
    <w:rsid w:val="00A54176"/>
    <w:rsid w:val="00A54D9D"/>
    <w:rsid w:val="00A623D3"/>
    <w:rsid w:val="00A92C35"/>
    <w:rsid w:val="00A97455"/>
    <w:rsid w:val="00AB216D"/>
    <w:rsid w:val="00AB5D9E"/>
    <w:rsid w:val="00AD3D81"/>
    <w:rsid w:val="00AE2107"/>
    <w:rsid w:val="00AE5CD6"/>
    <w:rsid w:val="00AF5019"/>
    <w:rsid w:val="00B2621F"/>
    <w:rsid w:val="00B31F3A"/>
    <w:rsid w:val="00B3593A"/>
    <w:rsid w:val="00B36FA9"/>
    <w:rsid w:val="00B5478C"/>
    <w:rsid w:val="00B555FA"/>
    <w:rsid w:val="00B73AC4"/>
    <w:rsid w:val="00B8142F"/>
    <w:rsid w:val="00B825DF"/>
    <w:rsid w:val="00B90A64"/>
    <w:rsid w:val="00BA5C89"/>
    <w:rsid w:val="00BA7D47"/>
    <w:rsid w:val="00BB0F9C"/>
    <w:rsid w:val="00BB229B"/>
    <w:rsid w:val="00BC14B9"/>
    <w:rsid w:val="00BD194F"/>
    <w:rsid w:val="00BE4102"/>
    <w:rsid w:val="00BE6DD8"/>
    <w:rsid w:val="00C01798"/>
    <w:rsid w:val="00C10C6D"/>
    <w:rsid w:val="00C1597E"/>
    <w:rsid w:val="00C204CC"/>
    <w:rsid w:val="00C30D7C"/>
    <w:rsid w:val="00C40410"/>
    <w:rsid w:val="00C439C5"/>
    <w:rsid w:val="00C50364"/>
    <w:rsid w:val="00C6054D"/>
    <w:rsid w:val="00C73C06"/>
    <w:rsid w:val="00CC2F63"/>
    <w:rsid w:val="00D0218D"/>
    <w:rsid w:val="00D0418E"/>
    <w:rsid w:val="00D10254"/>
    <w:rsid w:val="00D12996"/>
    <w:rsid w:val="00D222B0"/>
    <w:rsid w:val="00D43E94"/>
    <w:rsid w:val="00D518D4"/>
    <w:rsid w:val="00D641D4"/>
    <w:rsid w:val="00D641E2"/>
    <w:rsid w:val="00D66885"/>
    <w:rsid w:val="00D7754C"/>
    <w:rsid w:val="00D86FE2"/>
    <w:rsid w:val="00D91DDB"/>
    <w:rsid w:val="00D93B37"/>
    <w:rsid w:val="00DA4679"/>
    <w:rsid w:val="00DA68F3"/>
    <w:rsid w:val="00DD2A6E"/>
    <w:rsid w:val="00DE5756"/>
    <w:rsid w:val="00DE661E"/>
    <w:rsid w:val="00E02B74"/>
    <w:rsid w:val="00E11583"/>
    <w:rsid w:val="00E347C2"/>
    <w:rsid w:val="00E505A7"/>
    <w:rsid w:val="00E6756A"/>
    <w:rsid w:val="00E67B1C"/>
    <w:rsid w:val="00E73AED"/>
    <w:rsid w:val="00E76852"/>
    <w:rsid w:val="00E96D78"/>
    <w:rsid w:val="00EB18B1"/>
    <w:rsid w:val="00EC2312"/>
    <w:rsid w:val="00EE3C16"/>
    <w:rsid w:val="00EE4FC9"/>
    <w:rsid w:val="00EF0D67"/>
    <w:rsid w:val="00EF273D"/>
    <w:rsid w:val="00EF4C8C"/>
    <w:rsid w:val="00F01D62"/>
    <w:rsid w:val="00F34DEF"/>
    <w:rsid w:val="00F4225A"/>
    <w:rsid w:val="00F62181"/>
    <w:rsid w:val="00F91ADF"/>
    <w:rsid w:val="00FA0D71"/>
    <w:rsid w:val="00FD6F3C"/>
    <w:rsid w:val="00FF1FCE"/>
    <w:rsid w:val="00FF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7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3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18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132"/>
    <w:pPr>
      <w:spacing w:after="0" w:line="240" w:lineRule="auto"/>
    </w:pPr>
  </w:style>
  <w:style w:type="character" w:styleId="Hyperlink">
    <w:name w:val="Hyperlink"/>
    <w:basedOn w:val="DefaultParagraphFont"/>
    <w:uiPriority w:val="99"/>
    <w:unhideWhenUsed/>
    <w:rsid w:val="00D12996"/>
    <w:rPr>
      <w:color w:val="0000FF" w:themeColor="hyperlink"/>
      <w:u w:val="single"/>
    </w:rPr>
  </w:style>
  <w:style w:type="character" w:customStyle="1" w:styleId="Heading1Char">
    <w:name w:val="Heading 1 Char"/>
    <w:basedOn w:val="DefaultParagraphFont"/>
    <w:link w:val="Heading1"/>
    <w:uiPriority w:val="9"/>
    <w:rsid w:val="0091752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7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52D"/>
  </w:style>
  <w:style w:type="paragraph" w:styleId="Footer">
    <w:name w:val="footer"/>
    <w:basedOn w:val="Normal"/>
    <w:link w:val="FooterChar"/>
    <w:uiPriority w:val="99"/>
    <w:unhideWhenUsed/>
    <w:rsid w:val="00917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52D"/>
  </w:style>
  <w:style w:type="paragraph" w:styleId="FootnoteText">
    <w:name w:val="footnote text"/>
    <w:basedOn w:val="Normal"/>
    <w:link w:val="FootnoteTextChar"/>
    <w:uiPriority w:val="99"/>
    <w:unhideWhenUsed/>
    <w:rsid w:val="009725D4"/>
    <w:pPr>
      <w:spacing w:after="0" w:line="240" w:lineRule="auto"/>
    </w:pPr>
    <w:rPr>
      <w:sz w:val="20"/>
      <w:szCs w:val="20"/>
    </w:rPr>
  </w:style>
  <w:style w:type="character" w:customStyle="1" w:styleId="FootnoteTextChar">
    <w:name w:val="Footnote Text Char"/>
    <w:basedOn w:val="DefaultParagraphFont"/>
    <w:link w:val="FootnoteText"/>
    <w:uiPriority w:val="99"/>
    <w:rsid w:val="009725D4"/>
    <w:rPr>
      <w:sz w:val="20"/>
      <w:szCs w:val="20"/>
    </w:rPr>
  </w:style>
  <w:style w:type="character" w:styleId="FootnoteReference">
    <w:name w:val="footnote reference"/>
    <w:basedOn w:val="DefaultParagraphFont"/>
    <w:uiPriority w:val="99"/>
    <w:semiHidden/>
    <w:unhideWhenUsed/>
    <w:rsid w:val="009725D4"/>
    <w:rPr>
      <w:vertAlign w:val="superscript"/>
    </w:rPr>
  </w:style>
  <w:style w:type="character" w:customStyle="1" w:styleId="Heading2Char">
    <w:name w:val="Heading 2 Char"/>
    <w:basedOn w:val="DefaultParagraphFont"/>
    <w:link w:val="Heading2"/>
    <w:uiPriority w:val="9"/>
    <w:rsid w:val="0050303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B1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8B1"/>
    <w:rPr>
      <w:rFonts w:ascii="Tahoma" w:hAnsi="Tahoma" w:cs="Tahoma"/>
      <w:sz w:val="16"/>
      <w:szCs w:val="16"/>
    </w:rPr>
  </w:style>
  <w:style w:type="character" w:customStyle="1" w:styleId="Heading3Char">
    <w:name w:val="Heading 3 Char"/>
    <w:basedOn w:val="DefaultParagraphFont"/>
    <w:link w:val="Heading3"/>
    <w:uiPriority w:val="9"/>
    <w:rsid w:val="00EB18B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62181"/>
    <w:pPr>
      <w:outlineLvl w:val="9"/>
    </w:pPr>
    <w:rPr>
      <w:lang w:eastAsia="ja-JP"/>
    </w:rPr>
  </w:style>
  <w:style w:type="paragraph" w:styleId="TOC2">
    <w:name w:val="toc 2"/>
    <w:basedOn w:val="Normal"/>
    <w:next w:val="Normal"/>
    <w:autoRedefine/>
    <w:uiPriority w:val="39"/>
    <w:unhideWhenUsed/>
    <w:qFormat/>
    <w:rsid w:val="00D93B37"/>
    <w:pPr>
      <w:tabs>
        <w:tab w:val="right" w:leader="dot" w:pos="9350"/>
      </w:tabs>
      <w:spacing w:after="100"/>
      <w:ind w:left="720"/>
    </w:pPr>
    <w:rPr>
      <w:rFonts w:eastAsiaTheme="minorEastAsia"/>
      <w:lang w:eastAsia="ja-JP"/>
    </w:rPr>
  </w:style>
  <w:style w:type="paragraph" w:styleId="TOC1">
    <w:name w:val="toc 1"/>
    <w:basedOn w:val="Normal"/>
    <w:next w:val="Normal"/>
    <w:autoRedefine/>
    <w:uiPriority w:val="39"/>
    <w:unhideWhenUsed/>
    <w:qFormat/>
    <w:rsid w:val="00D93B37"/>
    <w:pPr>
      <w:tabs>
        <w:tab w:val="left" w:pos="440"/>
        <w:tab w:val="right" w:leader="dot" w:pos="9350"/>
      </w:tabs>
      <w:spacing w:after="100"/>
    </w:pPr>
    <w:rPr>
      <w:rFonts w:eastAsiaTheme="minorEastAsia"/>
      <w:b/>
      <w:noProof/>
      <w:lang w:eastAsia="ja-JP"/>
    </w:rPr>
  </w:style>
  <w:style w:type="paragraph" w:styleId="TOC3">
    <w:name w:val="toc 3"/>
    <w:basedOn w:val="Normal"/>
    <w:next w:val="Normal"/>
    <w:autoRedefine/>
    <w:uiPriority w:val="39"/>
    <w:unhideWhenUsed/>
    <w:qFormat/>
    <w:rsid w:val="00F62181"/>
    <w:pPr>
      <w:spacing w:after="100"/>
      <w:ind w:left="440"/>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7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3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18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3132"/>
    <w:pPr>
      <w:spacing w:after="0" w:line="240" w:lineRule="auto"/>
    </w:pPr>
  </w:style>
  <w:style w:type="character" w:styleId="Hyperlink">
    <w:name w:val="Hyperlink"/>
    <w:basedOn w:val="DefaultParagraphFont"/>
    <w:uiPriority w:val="99"/>
    <w:unhideWhenUsed/>
    <w:rsid w:val="00D12996"/>
    <w:rPr>
      <w:color w:val="0000FF" w:themeColor="hyperlink"/>
      <w:u w:val="single"/>
    </w:rPr>
  </w:style>
  <w:style w:type="character" w:customStyle="1" w:styleId="Heading1Char">
    <w:name w:val="Heading 1 Char"/>
    <w:basedOn w:val="DefaultParagraphFont"/>
    <w:link w:val="Heading1"/>
    <w:uiPriority w:val="9"/>
    <w:rsid w:val="0091752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17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52D"/>
  </w:style>
  <w:style w:type="paragraph" w:styleId="Footer">
    <w:name w:val="footer"/>
    <w:basedOn w:val="Normal"/>
    <w:link w:val="FooterChar"/>
    <w:uiPriority w:val="99"/>
    <w:unhideWhenUsed/>
    <w:rsid w:val="00917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52D"/>
  </w:style>
  <w:style w:type="paragraph" w:styleId="FootnoteText">
    <w:name w:val="footnote text"/>
    <w:basedOn w:val="Normal"/>
    <w:link w:val="FootnoteTextChar"/>
    <w:uiPriority w:val="99"/>
    <w:unhideWhenUsed/>
    <w:rsid w:val="009725D4"/>
    <w:pPr>
      <w:spacing w:after="0" w:line="240" w:lineRule="auto"/>
    </w:pPr>
    <w:rPr>
      <w:sz w:val="20"/>
      <w:szCs w:val="20"/>
    </w:rPr>
  </w:style>
  <w:style w:type="character" w:customStyle="1" w:styleId="FootnoteTextChar">
    <w:name w:val="Footnote Text Char"/>
    <w:basedOn w:val="DefaultParagraphFont"/>
    <w:link w:val="FootnoteText"/>
    <w:uiPriority w:val="99"/>
    <w:rsid w:val="009725D4"/>
    <w:rPr>
      <w:sz w:val="20"/>
      <w:szCs w:val="20"/>
    </w:rPr>
  </w:style>
  <w:style w:type="character" w:styleId="FootnoteReference">
    <w:name w:val="footnote reference"/>
    <w:basedOn w:val="DefaultParagraphFont"/>
    <w:uiPriority w:val="99"/>
    <w:semiHidden/>
    <w:unhideWhenUsed/>
    <w:rsid w:val="009725D4"/>
    <w:rPr>
      <w:vertAlign w:val="superscript"/>
    </w:rPr>
  </w:style>
  <w:style w:type="character" w:customStyle="1" w:styleId="Heading2Char">
    <w:name w:val="Heading 2 Char"/>
    <w:basedOn w:val="DefaultParagraphFont"/>
    <w:link w:val="Heading2"/>
    <w:uiPriority w:val="9"/>
    <w:rsid w:val="0050303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B1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8B1"/>
    <w:rPr>
      <w:rFonts w:ascii="Tahoma" w:hAnsi="Tahoma" w:cs="Tahoma"/>
      <w:sz w:val="16"/>
      <w:szCs w:val="16"/>
    </w:rPr>
  </w:style>
  <w:style w:type="character" w:customStyle="1" w:styleId="Heading3Char">
    <w:name w:val="Heading 3 Char"/>
    <w:basedOn w:val="DefaultParagraphFont"/>
    <w:link w:val="Heading3"/>
    <w:uiPriority w:val="9"/>
    <w:rsid w:val="00EB18B1"/>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62181"/>
    <w:pPr>
      <w:outlineLvl w:val="9"/>
    </w:pPr>
    <w:rPr>
      <w:lang w:eastAsia="ja-JP"/>
    </w:rPr>
  </w:style>
  <w:style w:type="paragraph" w:styleId="TOC2">
    <w:name w:val="toc 2"/>
    <w:basedOn w:val="Normal"/>
    <w:next w:val="Normal"/>
    <w:autoRedefine/>
    <w:uiPriority w:val="39"/>
    <w:unhideWhenUsed/>
    <w:qFormat/>
    <w:rsid w:val="00D93B37"/>
    <w:pPr>
      <w:tabs>
        <w:tab w:val="right" w:leader="dot" w:pos="9350"/>
      </w:tabs>
      <w:spacing w:after="100"/>
      <w:ind w:left="720"/>
    </w:pPr>
    <w:rPr>
      <w:rFonts w:eastAsiaTheme="minorEastAsia"/>
      <w:lang w:eastAsia="ja-JP"/>
    </w:rPr>
  </w:style>
  <w:style w:type="paragraph" w:styleId="TOC1">
    <w:name w:val="toc 1"/>
    <w:basedOn w:val="Normal"/>
    <w:next w:val="Normal"/>
    <w:autoRedefine/>
    <w:uiPriority w:val="39"/>
    <w:unhideWhenUsed/>
    <w:qFormat/>
    <w:rsid w:val="00D93B37"/>
    <w:pPr>
      <w:tabs>
        <w:tab w:val="left" w:pos="440"/>
        <w:tab w:val="right" w:leader="dot" w:pos="9350"/>
      </w:tabs>
      <w:spacing w:after="100"/>
    </w:pPr>
    <w:rPr>
      <w:rFonts w:eastAsiaTheme="minorEastAsia"/>
      <w:b/>
      <w:noProof/>
      <w:lang w:eastAsia="ja-JP"/>
    </w:rPr>
  </w:style>
  <w:style w:type="paragraph" w:styleId="TOC3">
    <w:name w:val="toc 3"/>
    <w:basedOn w:val="Normal"/>
    <w:next w:val="Normal"/>
    <w:autoRedefine/>
    <w:uiPriority w:val="39"/>
    <w:unhideWhenUsed/>
    <w:qFormat/>
    <w:rsid w:val="00F62181"/>
    <w:pPr>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bbage.com"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kibo.or.kr/src/english/" TargetMode="External"/><Relationship Id="rId7" Type="http://schemas.openxmlformats.org/officeDocument/2006/relationships/footnotes" Target="footnotes.xml"/><Relationship Id="rId12" Type="http://schemas.openxmlformats.org/officeDocument/2006/relationships/hyperlink" Target="http://www.ondeck.com" TargetMode="External"/><Relationship Id="rId17" Type="http://schemas.openxmlformats.org/officeDocument/2006/relationships/hyperlink" Target="http://www.biz2credit.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undera.com" TargetMode="External"/><Relationship Id="rId20" Type="http://schemas.openxmlformats.org/officeDocument/2006/relationships/hyperlink" Target="http://www.improve-innovation.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undingcircle.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dassi@ix.netcom.com" TargetMode="External"/><Relationship Id="rId14" Type="http://schemas.openxmlformats.org/officeDocument/2006/relationships/hyperlink" Target="http://www.lendingclub.com"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nsf.gov/statistics/2015/nsf15307/" TargetMode="External"/><Relationship Id="rId2" Type="http://schemas.openxmlformats.org/officeDocument/2006/relationships/hyperlink" Target="http://www.nsf.gov/statistics/srvyindustry/" TargetMode="External"/><Relationship Id="rId1" Type="http://schemas.openxmlformats.org/officeDocument/2006/relationships/hyperlink" Target="http://www.ic.gc.ca/eic/site/061.nsf/eng/02776.html" TargetMode="External"/><Relationship Id="rId5" Type="http://schemas.openxmlformats.org/officeDocument/2006/relationships/hyperlink" Target="http://www.oecd.org/sti/oslomanual" TargetMode="External"/><Relationship Id="rId4" Type="http://schemas.openxmlformats.org/officeDocument/2006/relationships/hyperlink" Target="http://www.nsf.gov/statistics/2015/nsf15307/pdf/srvybrdis_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7D43-C618-47B3-B798-A51BD471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4970</Words>
  <Characters>28332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33236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Gramigna, Giuseppe E.</dc:creator>
  <cp:lastModifiedBy>Gramigna, Giuseppe E.</cp:lastModifiedBy>
  <cp:revision>4</cp:revision>
  <dcterms:created xsi:type="dcterms:W3CDTF">2015-09-19T11:19:00Z</dcterms:created>
  <dcterms:modified xsi:type="dcterms:W3CDTF">2015-09-19T11:33:00Z</dcterms:modified>
</cp:coreProperties>
</file>